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370C" w:rsidRDefault="0043370C" w:rsidP="0043370C">
      <w:pPr>
        <w:bidi/>
        <w:jc w:val="both"/>
        <w:rPr>
          <w:rFonts w:cs="David" w:hint="cs"/>
          <w:b/>
          <w:bCs w:val="0"/>
          <w:sz w:val="24"/>
          <w:szCs w:val="24"/>
        </w:rPr>
      </w:pPr>
    </w:p>
    <w:p w:rsidR="0043370C" w:rsidRDefault="0043370C" w:rsidP="0043370C">
      <w:pPr>
        <w:bidi/>
        <w:jc w:val="right"/>
        <w:rPr>
          <w:rFonts w:cs="David"/>
          <w:b/>
          <w:bCs w:val="0"/>
          <w:sz w:val="24"/>
          <w:szCs w:val="24"/>
          <w:rtl/>
        </w:rPr>
      </w:pPr>
      <w:r w:rsidRPr="00626A09">
        <w:rPr>
          <w:rFonts w:cs="David" w:hint="cs"/>
          <w:b/>
          <w:bCs w:val="0"/>
          <w:sz w:val="24"/>
          <w:szCs w:val="24"/>
          <w:rtl/>
        </w:rPr>
        <w:t>תאריך:</w:t>
      </w:r>
      <w:r>
        <w:rPr>
          <w:rFonts w:cs="David" w:hint="cs"/>
          <w:b/>
          <w:bCs w:val="0"/>
          <w:sz w:val="24"/>
          <w:szCs w:val="24"/>
          <w:rtl/>
        </w:rPr>
        <w:t xml:space="preserve"> </w:t>
      </w:r>
      <w:r w:rsidRPr="00A159F9">
        <w:rPr>
          <w:rFonts w:cs="David" w:hint="cs"/>
          <w:b/>
          <w:bCs w:val="0"/>
          <w:sz w:val="24"/>
          <w:szCs w:val="24"/>
          <w:u w:val="single"/>
          <w:rtl/>
        </w:rPr>
        <w:t>30.11.2015</w:t>
      </w:r>
    </w:p>
    <w:p w:rsidR="0043370C" w:rsidRDefault="0043370C" w:rsidP="0043370C">
      <w:pPr>
        <w:bidi/>
        <w:jc w:val="both"/>
        <w:rPr>
          <w:rFonts w:cs="David"/>
          <w:b/>
          <w:bCs w:val="0"/>
          <w:sz w:val="24"/>
          <w:szCs w:val="24"/>
          <w:rtl/>
        </w:rPr>
      </w:pPr>
    </w:p>
    <w:p w:rsidR="0043370C" w:rsidRDefault="0043370C" w:rsidP="0043370C">
      <w:pPr>
        <w:bidi/>
        <w:jc w:val="both"/>
        <w:rPr>
          <w:rFonts w:cs="David"/>
          <w:b/>
          <w:bCs w:val="0"/>
          <w:sz w:val="24"/>
          <w:szCs w:val="24"/>
          <w:rtl/>
        </w:rPr>
      </w:pPr>
    </w:p>
    <w:p w:rsidR="0043370C" w:rsidRPr="00C43416" w:rsidRDefault="0043370C" w:rsidP="0043370C">
      <w:pPr>
        <w:bidi/>
        <w:jc w:val="center"/>
        <w:rPr>
          <w:rFonts w:cs="David"/>
          <w:sz w:val="28"/>
          <w:szCs w:val="28"/>
          <w:rtl/>
        </w:rPr>
      </w:pPr>
      <w:r w:rsidRPr="00C43416">
        <w:rPr>
          <w:rFonts w:cs="David"/>
          <w:sz w:val="28"/>
          <w:szCs w:val="28"/>
          <w:rtl/>
        </w:rPr>
        <w:t xml:space="preserve">מענה לשאלות הבהרה מכרז פומבי מס' 110/2015 בנושא מתן שירותי ייצוג משפטי </w:t>
      </w:r>
    </w:p>
    <w:p w:rsidR="0043370C" w:rsidRPr="00C43416" w:rsidRDefault="0043370C" w:rsidP="0043370C">
      <w:pPr>
        <w:bidi/>
        <w:jc w:val="center"/>
        <w:rPr>
          <w:rFonts w:cs="David"/>
          <w:sz w:val="28"/>
          <w:szCs w:val="28"/>
          <w:u w:val="single"/>
        </w:rPr>
      </w:pPr>
      <w:r w:rsidRPr="00C43416">
        <w:rPr>
          <w:rFonts w:cs="David"/>
          <w:sz w:val="28"/>
          <w:szCs w:val="28"/>
          <w:u w:val="single"/>
          <w:rtl/>
        </w:rPr>
        <w:t>בתביעות והגשת כתבי אישום</w:t>
      </w:r>
    </w:p>
    <w:p w:rsidR="0043370C" w:rsidRDefault="0043370C" w:rsidP="0043370C">
      <w:pPr>
        <w:bidi/>
        <w:rPr>
          <w:rFonts w:cs="David"/>
          <w:sz w:val="24"/>
          <w:szCs w:val="24"/>
          <w:u w:val="single"/>
        </w:rPr>
      </w:pPr>
    </w:p>
    <w:tbl>
      <w:tblPr>
        <w:tblStyle w:val="a5"/>
        <w:bidiVisual/>
        <w:tblW w:w="10206" w:type="dxa"/>
        <w:tblInd w:w="-531" w:type="dxa"/>
        <w:tblLook w:val="04A0" w:firstRow="1" w:lastRow="0" w:firstColumn="1" w:lastColumn="0" w:noHBand="0" w:noVBand="1"/>
      </w:tblPr>
      <w:tblGrid>
        <w:gridCol w:w="850"/>
        <w:gridCol w:w="1559"/>
        <w:gridCol w:w="3261"/>
        <w:gridCol w:w="4536"/>
      </w:tblGrid>
      <w:tr w:rsidR="0043370C" w:rsidRPr="0045689B" w:rsidTr="00E01CB5">
        <w:tc>
          <w:tcPr>
            <w:tcW w:w="850" w:type="dxa"/>
          </w:tcPr>
          <w:p w:rsidR="0043370C" w:rsidRPr="0045689B" w:rsidRDefault="0043370C" w:rsidP="00E01CB5">
            <w:pPr>
              <w:jc w:val="center"/>
              <w:rPr>
                <w:rFonts w:cs="David"/>
                <w:sz w:val="24"/>
                <w:szCs w:val="24"/>
                <w:rtl/>
              </w:rPr>
            </w:pPr>
            <w:r w:rsidRPr="0045689B">
              <w:rPr>
                <w:rFonts w:cs="David" w:hint="cs"/>
                <w:sz w:val="24"/>
                <w:szCs w:val="24"/>
                <w:rtl/>
              </w:rPr>
              <w:t>מס"ד</w:t>
            </w:r>
          </w:p>
        </w:tc>
        <w:tc>
          <w:tcPr>
            <w:tcW w:w="1559" w:type="dxa"/>
          </w:tcPr>
          <w:p w:rsidR="0043370C" w:rsidRPr="0045689B" w:rsidRDefault="0043370C" w:rsidP="00E01CB5">
            <w:pPr>
              <w:jc w:val="center"/>
              <w:rPr>
                <w:rFonts w:cs="David"/>
                <w:sz w:val="24"/>
                <w:szCs w:val="24"/>
                <w:rtl/>
              </w:rPr>
            </w:pPr>
            <w:r w:rsidRPr="0045689B">
              <w:rPr>
                <w:rFonts w:cs="David" w:hint="cs"/>
                <w:sz w:val="24"/>
                <w:szCs w:val="24"/>
                <w:rtl/>
              </w:rPr>
              <w:t>מס' סעיף במכרז אליו מתייחסת השאלה</w:t>
            </w:r>
          </w:p>
        </w:tc>
        <w:tc>
          <w:tcPr>
            <w:tcW w:w="3261" w:type="dxa"/>
          </w:tcPr>
          <w:p w:rsidR="0043370C" w:rsidRPr="0045689B" w:rsidRDefault="0043370C" w:rsidP="00E01CB5">
            <w:pPr>
              <w:jc w:val="center"/>
              <w:rPr>
                <w:rFonts w:cs="David"/>
                <w:sz w:val="24"/>
                <w:szCs w:val="24"/>
                <w:rtl/>
              </w:rPr>
            </w:pPr>
            <w:r w:rsidRPr="0045689B">
              <w:rPr>
                <w:rFonts w:cs="David" w:hint="cs"/>
                <w:sz w:val="24"/>
                <w:szCs w:val="24"/>
                <w:rtl/>
              </w:rPr>
              <w:t>שאלה</w:t>
            </w:r>
          </w:p>
        </w:tc>
        <w:tc>
          <w:tcPr>
            <w:tcW w:w="4536" w:type="dxa"/>
          </w:tcPr>
          <w:p w:rsidR="0043370C" w:rsidRPr="0045689B" w:rsidRDefault="0043370C" w:rsidP="00E01CB5">
            <w:pPr>
              <w:jc w:val="center"/>
              <w:rPr>
                <w:rFonts w:cs="David"/>
                <w:sz w:val="24"/>
                <w:szCs w:val="24"/>
                <w:rtl/>
              </w:rPr>
            </w:pPr>
            <w:r w:rsidRPr="0045689B">
              <w:rPr>
                <w:rFonts w:cs="David" w:hint="cs"/>
                <w:sz w:val="24"/>
                <w:szCs w:val="24"/>
                <w:rtl/>
              </w:rPr>
              <w:t>תשובה</w:t>
            </w:r>
          </w:p>
        </w:tc>
      </w:tr>
      <w:tr w:rsidR="0043370C" w:rsidRPr="00CA0D01" w:rsidTr="00E01CB5">
        <w:tc>
          <w:tcPr>
            <w:tcW w:w="850" w:type="dxa"/>
          </w:tcPr>
          <w:p w:rsidR="0043370C" w:rsidRPr="00CA0D01" w:rsidRDefault="0043370C" w:rsidP="00E01CB5">
            <w:pPr>
              <w:rPr>
                <w:rFonts w:cs="David"/>
                <w:b/>
                <w:bCs w:val="0"/>
                <w:sz w:val="24"/>
                <w:szCs w:val="24"/>
                <w:rtl/>
              </w:rPr>
            </w:pPr>
            <w:r w:rsidRPr="00CA0D01">
              <w:rPr>
                <w:rFonts w:cs="David" w:hint="cs"/>
                <w:b/>
                <w:bCs w:val="0"/>
                <w:sz w:val="24"/>
                <w:szCs w:val="24"/>
                <w:rtl/>
              </w:rPr>
              <w:t>1.</w:t>
            </w:r>
          </w:p>
        </w:tc>
        <w:tc>
          <w:tcPr>
            <w:tcW w:w="1559" w:type="dxa"/>
          </w:tcPr>
          <w:p w:rsidR="0043370C" w:rsidRPr="00CA0D01" w:rsidRDefault="0043370C" w:rsidP="00E01CB5">
            <w:pPr>
              <w:rPr>
                <w:rFonts w:cs="David"/>
                <w:b/>
                <w:bCs w:val="0"/>
                <w:sz w:val="24"/>
                <w:szCs w:val="24"/>
                <w:rtl/>
              </w:rPr>
            </w:pPr>
            <w:r w:rsidRPr="00DF4A38">
              <w:rPr>
                <w:rFonts w:cs="David" w:hint="cs"/>
                <w:b/>
                <w:bCs w:val="0"/>
                <w:sz w:val="24"/>
                <w:szCs w:val="24"/>
                <w:rtl/>
              </w:rPr>
              <w:t xml:space="preserve">סעיף 10.1.1 </w:t>
            </w:r>
            <w:r>
              <w:rPr>
                <w:rFonts w:cs="David" w:hint="cs"/>
                <w:b/>
                <w:bCs w:val="0"/>
                <w:sz w:val="24"/>
                <w:szCs w:val="24"/>
                <w:rtl/>
              </w:rPr>
              <w:t xml:space="preserve">למכרז </w:t>
            </w:r>
            <w:r w:rsidRPr="00DF4A38">
              <w:rPr>
                <w:rFonts w:cs="David" w:hint="cs"/>
                <w:b/>
                <w:bCs w:val="0"/>
                <w:sz w:val="24"/>
                <w:szCs w:val="24"/>
                <w:rtl/>
              </w:rPr>
              <w:t>(עמ' 6)</w:t>
            </w:r>
          </w:p>
        </w:tc>
        <w:tc>
          <w:tcPr>
            <w:tcW w:w="3261" w:type="dxa"/>
          </w:tcPr>
          <w:p w:rsidR="0043370C" w:rsidRPr="00CA0D01" w:rsidRDefault="0043370C" w:rsidP="00E01CB5">
            <w:pPr>
              <w:rPr>
                <w:rFonts w:cs="David"/>
                <w:b/>
                <w:bCs w:val="0"/>
                <w:sz w:val="24"/>
                <w:szCs w:val="24"/>
                <w:rtl/>
              </w:rPr>
            </w:pPr>
            <w:r w:rsidRPr="00CA0D01">
              <w:rPr>
                <w:rFonts w:cs="David" w:hint="cs"/>
                <w:b/>
                <w:bCs w:val="0"/>
                <w:sz w:val="24"/>
                <w:szCs w:val="24"/>
                <w:rtl/>
              </w:rPr>
              <w:t>האם</w:t>
            </w:r>
            <w:r w:rsidRPr="00CA0D01">
              <w:rPr>
                <w:rFonts w:cs="David"/>
                <w:b/>
                <w:bCs w:val="0"/>
                <w:sz w:val="24"/>
                <w:szCs w:val="24"/>
                <w:rtl/>
              </w:rPr>
              <w:t xml:space="preserve"> </w:t>
            </w:r>
            <w:r w:rsidRPr="00CA0D01">
              <w:rPr>
                <w:rFonts w:cs="David" w:hint="cs"/>
                <w:b/>
                <w:bCs w:val="0"/>
                <w:sz w:val="24"/>
                <w:szCs w:val="24"/>
                <w:rtl/>
              </w:rPr>
              <w:t>שותפות</w:t>
            </w:r>
            <w:r w:rsidRPr="00CA0D01">
              <w:rPr>
                <w:rFonts w:cs="David"/>
                <w:b/>
                <w:bCs w:val="0"/>
                <w:sz w:val="24"/>
                <w:szCs w:val="24"/>
                <w:rtl/>
              </w:rPr>
              <w:t xml:space="preserve"> </w:t>
            </w:r>
            <w:r w:rsidRPr="00CA0D01">
              <w:rPr>
                <w:rFonts w:cs="David" w:hint="cs"/>
                <w:b/>
                <w:bCs w:val="0"/>
                <w:sz w:val="24"/>
                <w:szCs w:val="24"/>
                <w:rtl/>
              </w:rPr>
              <w:t>עורכי</w:t>
            </w:r>
            <w:r w:rsidRPr="00CA0D01">
              <w:rPr>
                <w:rFonts w:cs="David"/>
                <w:b/>
                <w:bCs w:val="0"/>
                <w:sz w:val="24"/>
                <w:szCs w:val="24"/>
                <w:rtl/>
              </w:rPr>
              <w:t xml:space="preserve"> </w:t>
            </w:r>
            <w:r w:rsidRPr="00CA0D01">
              <w:rPr>
                <w:rFonts w:cs="David" w:hint="cs"/>
                <w:b/>
                <w:bCs w:val="0"/>
                <w:sz w:val="24"/>
                <w:szCs w:val="24"/>
                <w:rtl/>
              </w:rPr>
              <w:t>הדין</w:t>
            </w:r>
            <w:r w:rsidRPr="00CA0D01">
              <w:rPr>
                <w:rFonts w:cs="David"/>
                <w:b/>
                <w:bCs w:val="0"/>
                <w:sz w:val="24"/>
                <w:szCs w:val="24"/>
                <w:rtl/>
              </w:rPr>
              <w:t xml:space="preserve"> </w:t>
            </w:r>
            <w:r w:rsidRPr="00CA0D01">
              <w:rPr>
                <w:rFonts w:cs="David" w:hint="cs"/>
                <w:b/>
                <w:bCs w:val="0"/>
                <w:sz w:val="24"/>
                <w:szCs w:val="24"/>
                <w:rtl/>
              </w:rPr>
              <w:t>אשר</w:t>
            </w:r>
            <w:r w:rsidRPr="00CA0D01">
              <w:rPr>
                <w:rFonts w:cs="David"/>
                <w:b/>
                <w:bCs w:val="0"/>
                <w:sz w:val="24"/>
                <w:szCs w:val="24"/>
                <w:rtl/>
              </w:rPr>
              <w:t xml:space="preserve"> </w:t>
            </w:r>
            <w:r w:rsidRPr="00CA0D01">
              <w:rPr>
                <w:rFonts w:cs="David" w:hint="cs"/>
                <w:b/>
                <w:bCs w:val="0"/>
                <w:sz w:val="24"/>
                <w:szCs w:val="24"/>
                <w:rtl/>
              </w:rPr>
              <w:t>אינה</w:t>
            </w:r>
            <w:r w:rsidRPr="00CA0D01">
              <w:rPr>
                <w:rFonts w:cs="David"/>
                <w:b/>
                <w:bCs w:val="0"/>
                <w:sz w:val="24"/>
                <w:szCs w:val="24"/>
                <w:rtl/>
              </w:rPr>
              <w:t xml:space="preserve"> </w:t>
            </w:r>
            <w:r w:rsidRPr="00CA0D01">
              <w:rPr>
                <w:rFonts w:cs="David" w:hint="cs"/>
                <w:b/>
                <w:bCs w:val="0"/>
                <w:sz w:val="24"/>
                <w:szCs w:val="24"/>
                <w:rtl/>
              </w:rPr>
              <w:t>רשומה</w:t>
            </w:r>
            <w:r w:rsidRPr="00CA0D01">
              <w:rPr>
                <w:rFonts w:cs="David"/>
                <w:b/>
                <w:bCs w:val="0"/>
                <w:sz w:val="24"/>
                <w:szCs w:val="24"/>
                <w:rtl/>
              </w:rPr>
              <w:t xml:space="preserve">, </w:t>
            </w:r>
            <w:r w:rsidRPr="00CA0D01">
              <w:rPr>
                <w:rFonts w:cs="David" w:hint="cs"/>
                <w:b/>
                <w:bCs w:val="0"/>
                <w:sz w:val="24"/>
                <w:szCs w:val="24"/>
                <w:rtl/>
              </w:rPr>
              <w:t>אך</w:t>
            </w:r>
            <w:r w:rsidRPr="00CA0D01">
              <w:rPr>
                <w:rFonts w:cs="David"/>
                <w:b/>
                <w:bCs w:val="0"/>
                <w:sz w:val="24"/>
                <w:szCs w:val="24"/>
                <w:rtl/>
              </w:rPr>
              <w:t xml:space="preserve"> </w:t>
            </w:r>
            <w:r w:rsidRPr="00CA0D01">
              <w:rPr>
                <w:rFonts w:cs="David" w:hint="cs"/>
                <w:b/>
                <w:bCs w:val="0"/>
                <w:sz w:val="24"/>
                <w:szCs w:val="24"/>
                <w:rtl/>
              </w:rPr>
              <w:t>מאוגדת</w:t>
            </w:r>
            <w:r w:rsidRPr="00CA0D01">
              <w:rPr>
                <w:rFonts w:cs="David"/>
                <w:b/>
                <w:bCs w:val="0"/>
                <w:sz w:val="24"/>
                <w:szCs w:val="24"/>
                <w:rtl/>
              </w:rPr>
              <w:t xml:space="preserve"> </w:t>
            </w:r>
            <w:r w:rsidRPr="00CA0D01">
              <w:rPr>
                <w:rFonts w:cs="David" w:hint="cs"/>
                <w:b/>
                <w:bCs w:val="0"/>
                <w:sz w:val="24"/>
                <w:szCs w:val="24"/>
                <w:rtl/>
              </w:rPr>
              <w:t>כדין</w:t>
            </w:r>
            <w:r w:rsidRPr="00CA0D01">
              <w:rPr>
                <w:rFonts w:cs="David"/>
                <w:b/>
                <w:bCs w:val="0"/>
                <w:sz w:val="24"/>
                <w:szCs w:val="24"/>
                <w:rtl/>
              </w:rPr>
              <w:t xml:space="preserve"> </w:t>
            </w:r>
            <w:r w:rsidRPr="00CA0D01">
              <w:rPr>
                <w:rFonts w:cs="David" w:hint="cs"/>
                <w:b/>
                <w:bCs w:val="0"/>
                <w:sz w:val="24"/>
                <w:szCs w:val="24"/>
                <w:rtl/>
              </w:rPr>
              <w:t>לצורכי</w:t>
            </w:r>
            <w:r w:rsidRPr="00CA0D01">
              <w:rPr>
                <w:rFonts w:cs="David"/>
                <w:b/>
                <w:bCs w:val="0"/>
                <w:sz w:val="24"/>
                <w:szCs w:val="24"/>
                <w:rtl/>
              </w:rPr>
              <w:t xml:space="preserve"> </w:t>
            </w:r>
            <w:r w:rsidRPr="00CA0D01">
              <w:rPr>
                <w:rFonts w:cs="David" w:hint="cs"/>
                <w:b/>
                <w:bCs w:val="0"/>
                <w:sz w:val="24"/>
                <w:szCs w:val="24"/>
                <w:rtl/>
              </w:rPr>
              <w:t>מע</w:t>
            </w:r>
            <w:r w:rsidRPr="00CA0D01">
              <w:rPr>
                <w:rFonts w:cs="David"/>
                <w:b/>
                <w:bCs w:val="0"/>
                <w:sz w:val="24"/>
                <w:szCs w:val="24"/>
                <w:rtl/>
              </w:rPr>
              <w:t>"</w:t>
            </w:r>
            <w:r w:rsidRPr="00CA0D01">
              <w:rPr>
                <w:rFonts w:cs="David" w:hint="cs"/>
                <w:b/>
                <w:bCs w:val="0"/>
                <w:sz w:val="24"/>
                <w:szCs w:val="24"/>
                <w:rtl/>
              </w:rPr>
              <w:t>מ</w:t>
            </w:r>
            <w:r w:rsidRPr="00CA0D01">
              <w:rPr>
                <w:rFonts w:cs="David"/>
                <w:b/>
                <w:bCs w:val="0"/>
                <w:sz w:val="24"/>
                <w:szCs w:val="24"/>
                <w:rtl/>
              </w:rPr>
              <w:t xml:space="preserve"> </w:t>
            </w:r>
            <w:r w:rsidRPr="00CA0D01">
              <w:rPr>
                <w:rFonts w:cs="David" w:hint="cs"/>
                <w:b/>
                <w:bCs w:val="0"/>
                <w:sz w:val="24"/>
                <w:szCs w:val="24"/>
                <w:rtl/>
              </w:rPr>
              <w:t>מהווה</w:t>
            </w:r>
            <w:r w:rsidRPr="00CA0D01">
              <w:rPr>
                <w:rFonts w:cs="David"/>
                <w:b/>
                <w:bCs w:val="0"/>
                <w:sz w:val="24"/>
                <w:szCs w:val="24"/>
                <w:rtl/>
              </w:rPr>
              <w:t xml:space="preserve"> </w:t>
            </w:r>
            <w:r w:rsidRPr="00CA0D01">
              <w:rPr>
                <w:rFonts w:cs="David" w:hint="cs"/>
                <w:b/>
                <w:bCs w:val="0"/>
                <w:sz w:val="24"/>
                <w:szCs w:val="24"/>
                <w:rtl/>
              </w:rPr>
              <w:t>צורת</w:t>
            </w:r>
            <w:r w:rsidRPr="00CA0D01">
              <w:rPr>
                <w:rFonts w:cs="David"/>
                <w:b/>
                <w:bCs w:val="0"/>
                <w:sz w:val="24"/>
                <w:szCs w:val="24"/>
                <w:rtl/>
              </w:rPr>
              <w:t xml:space="preserve"> </w:t>
            </w:r>
            <w:r w:rsidRPr="00CA0D01">
              <w:rPr>
                <w:rFonts w:cs="David" w:hint="cs"/>
                <w:b/>
                <w:bCs w:val="0"/>
                <w:sz w:val="24"/>
                <w:szCs w:val="24"/>
                <w:rtl/>
              </w:rPr>
              <w:t>התאגדות</w:t>
            </w:r>
            <w:r w:rsidRPr="00CA0D01">
              <w:rPr>
                <w:rFonts w:cs="David"/>
                <w:b/>
                <w:bCs w:val="0"/>
                <w:sz w:val="24"/>
                <w:szCs w:val="24"/>
                <w:rtl/>
              </w:rPr>
              <w:t xml:space="preserve"> </w:t>
            </w:r>
            <w:r w:rsidRPr="00CA0D01">
              <w:rPr>
                <w:rFonts w:cs="David" w:hint="cs"/>
                <w:b/>
                <w:bCs w:val="0"/>
                <w:sz w:val="24"/>
                <w:szCs w:val="24"/>
                <w:rtl/>
              </w:rPr>
              <w:t>כשירה</w:t>
            </w:r>
            <w:r w:rsidRPr="00CA0D01">
              <w:rPr>
                <w:rFonts w:cs="David"/>
                <w:b/>
                <w:bCs w:val="0"/>
                <w:sz w:val="24"/>
                <w:szCs w:val="24"/>
                <w:rtl/>
              </w:rPr>
              <w:t xml:space="preserve"> </w:t>
            </w:r>
            <w:r>
              <w:rPr>
                <w:rFonts w:cs="David" w:hint="cs"/>
                <w:b/>
                <w:bCs w:val="0"/>
                <w:sz w:val="24"/>
                <w:szCs w:val="24"/>
                <w:rtl/>
              </w:rPr>
              <w:t>לתנאי</w:t>
            </w:r>
            <w:r w:rsidRPr="00CA0D01">
              <w:rPr>
                <w:rFonts w:cs="David"/>
                <w:b/>
                <w:bCs w:val="0"/>
                <w:sz w:val="24"/>
                <w:szCs w:val="24"/>
                <w:rtl/>
              </w:rPr>
              <w:t xml:space="preserve"> </w:t>
            </w:r>
            <w:r w:rsidRPr="00CA0D01">
              <w:rPr>
                <w:rFonts w:cs="David" w:hint="cs"/>
                <w:b/>
                <w:bCs w:val="0"/>
                <w:sz w:val="24"/>
                <w:szCs w:val="24"/>
                <w:rtl/>
              </w:rPr>
              <w:t>עמידה</w:t>
            </w:r>
            <w:r w:rsidRPr="00CA0D01">
              <w:rPr>
                <w:rFonts w:cs="David"/>
                <w:b/>
                <w:bCs w:val="0"/>
                <w:sz w:val="24"/>
                <w:szCs w:val="24"/>
                <w:rtl/>
              </w:rPr>
              <w:t xml:space="preserve"> </w:t>
            </w:r>
            <w:r w:rsidRPr="00CA0D01">
              <w:rPr>
                <w:rFonts w:cs="David" w:hint="cs"/>
                <w:b/>
                <w:bCs w:val="0"/>
                <w:sz w:val="24"/>
                <w:szCs w:val="24"/>
                <w:rtl/>
              </w:rPr>
              <w:t>בהליך</w:t>
            </w:r>
            <w:r w:rsidRPr="00CA0D01">
              <w:rPr>
                <w:rFonts w:cs="David"/>
                <w:b/>
                <w:bCs w:val="0"/>
                <w:sz w:val="24"/>
                <w:szCs w:val="24"/>
                <w:rtl/>
              </w:rPr>
              <w:t xml:space="preserve"> </w:t>
            </w:r>
            <w:r w:rsidRPr="00CA0D01">
              <w:rPr>
                <w:rFonts w:cs="David" w:hint="cs"/>
                <w:b/>
                <w:bCs w:val="0"/>
                <w:sz w:val="24"/>
                <w:szCs w:val="24"/>
                <w:rtl/>
              </w:rPr>
              <w:t>זה</w:t>
            </w:r>
            <w:r w:rsidRPr="00CA0D01">
              <w:rPr>
                <w:rFonts w:cs="David"/>
                <w:b/>
                <w:bCs w:val="0"/>
                <w:sz w:val="24"/>
                <w:szCs w:val="24"/>
                <w:rtl/>
              </w:rPr>
              <w:t xml:space="preserve"> ?   </w:t>
            </w:r>
          </w:p>
        </w:tc>
        <w:tc>
          <w:tcPr>
            <w:tcW w:w="4536" w:type="dxa"/>
          </w:tcPr>
          <w:p w:rsidR="0043370C" w:rsidRPr="00CA0D01" w:rsidRDefault="0043370C" w:rsidP="00E01CB5">
            <w:pPr>
              <w:rPr>
                <w:rFonts w:cs="David"/>
                <w:b/>
                <w:bCs w:val="0"/>
                <w:sz w:val="24"/>
                <w:szCs w:val="24"/>
                <w:rtl/>
              </w:rPr>
            </w:pPr>
            <w:r>
              <w:rPr>
                <w:rFonts w:cs="David" w:hint="cs"/>
                <w:b/>
                <w:bCs w:val="0"/>
                <w:sz w:val="24"/>
                <w:szCs w:val="24"/>
                <w:rtl/>
              </w:rPr>
              <w:t xml:space="preserve">לא. הסעיף קובע כי </w:t>
            </w:r>
            <w:r w:rsidRPr="006143A8">
              <w:rPr>
                <w:rFonts w:cs="David"/>
                <w:b/>
                <w:bCs w:val="0"/>
                <w:sz w:val="24"/>
                <w:szCs w:val="24"/>
                <w:rtl/>
              </w:rPr>
              <w:t xml:space="preserve">על המציע להיות עורך דין שהינו עוסק מורשה או תאגיד הרשום בישראל על פי דין, או חברת עורכי דין או </w:t>
            </w:r>
            <w:r w:rsidRPr="006143A8">
              <w:rPr>
                <w:rFonts w:cs="David"/>
                <w:sz w:val="24"/>
                <w:szCs w:val="24"/>
                <w:rtl/>
              </w:rPr>
              <w:t>שותפות רשומה של עורכי דין.</w:t>
            </w:r>
          </w:p>
        </w:tc>
      </w:tr>
      <w:tr w:rsidR="0043370C" w:rsidRPr="00CA0D01" w:rsidTr="00E01CB5">
        <w:tc>
          <w:tcPr>
            <w:tcW w:w="850" w:type="dxa"/>
          </w:tcPr>
          <w:p w:rsidR="0043370C" w:rsidRPr="00CA0D01" w:rsidRDefault="0043370C" w:rsidP="00E01CB5">
            <w:pPr>
              <w:rPr>
                <w:rFonts w:cs="David"/>
                <w:b/>
                <w:bCs w:val="0"/>
                <w:sz w:val="24"/>
                <w:szCs w:val="24"/>
                <w:rtl/>
              </w:rPr>
            </w:pPr>
            <w:r>
              <w:rPr>
                <w:rFonts w:cs="David" w:hint="cs"/>
                <w:b/>
                <w:bCs w:val="0"/>
                <w:sz w:val="24"/>
                <w:szCs w:val="24"/>
                <w:rtl/>
              </w:rPr>
              <w:t>2.</w:t>
            </w:r>
          </w:p>
        </w:tc>
        <w:tc>
          <w:tcPr>
            <w:tcW w:w="1559" w:type="dxa"/>
          </w:tcPr>
          <w:p w:rsidR="0043370C" w:rsidRPr="00CA0D01" w:rsidRDefault="0043370C" w:rsidP="00E01CB5">
            <w:pPr>
              <w:rPr>
                <w:rFonts w:cs="David"/>
                <w:b/>
                <w:bCs w:val="0"/>
                <w:sz w:val="24"/>
                <w:szCs w:val="24"/>
                <w:rtl/>
              </w:rPr>
            </w:pPr>
            <w:r w:rsidRPr="00DF4A38">
              <w:rPr>
                <w:rFonts w:cs="David" w:hint="cs"/>
                <w:b/>
                <w:bCs w:val="0"/>
                <w:sz w:val="24"/>
                <w:szCs w:val="24"/>
                <w:rtl/>
              </w:rPr>
              <w:t>סעיף</w:t>
            </w:r>
            <w:r w:rsidRPr="00DF4A38">
              <w:rPr>
                <w:rFonts w:cs="David"/>
                <w:b/>
                <w:bCs w:val="0"/>
                <w:sz w:val="24"/>
                <w:szCs w:val="24"/>
                <w:rtl/>
              </w:rPr>
              <w:t xml:space="preserve"> </w:t>
            </w:r>
            <w:r w:rsidRPr="00DF4A38">
              <w:rPr>
                <w:rFonts w:cs="David" w:hint="cs"/>
                <w:b/>
                <w:bCs w:val="0"/>
                <w:sz w:val="24"/>
                <w:szCs w:val="24"/>
                <w:rtl/>
              </w:rPr>
              <w:t>26</w:t>
            </w:r>
            <w:r>
              <w:rPr>
                <w:rFonts w:cs="David" w:hint="cs"/>
                <w:b/>
                <w:bCs w:val="0"/>
                <w:sz w:val="24"/>
                <w:szCs w:val="24"/>
                <w:rtl/>
              </w:rPr>
              <w:t xml:space="preserve"> למכרז </w:t>
            </w:r>
            <w:r w:rsidRPr="00DF4A38">
              <w:rPr>
                <w:rFonts w:cs="David"/>
                <w:b/>
                <w:bCs w:val="0"/>
                <w:sz w:val="24"/>
                <w:szCs w:val="24"/>
                <w:rtl/>
              </w:rPr>
              <w:t xml:space="preserve"> (</w:t>
            </w:r>
            <w:r w:rsidRPr="00DF4A38">
              <w:rPr>
                <w:rFonts w:cs="David" w:hint="cs"/>
                <w:b/>
                <w:bCs w:val="0"/>
                <w:sz w:val="24"/>
                <w:szCs w:val="24"/>
                <w:rtl/>
              </w:rPr>
              <w:t>עמ</w:t>
            </w:r>
            <w:r w:rsidRPr="00DF4A38">
              <w:rPr>
                <w:rFonts w:cs="David"/>
                <w:b/>
                <w:bCs w:val="0"/>
                <w:sz w:val="24"/>
                <w:szCs w:val="24"/>
                <w:rtl/>
              </w:rPr>
              <w:t xml:space="preserve">' </w:t>
            </w:r>
            <w:r w:rsidRPr="00DF4A38">
              <w:rPr>
                <w:rFonts w:cs="David" w:hint="cs"/>
                <w:b/>
                <w:bCs w:val="0"/>
                <w:sz w:val="24"/>
                <w:szCs w:val="24"/>
                <w:rtl/>
              </w:rPr>
              <w:t>11</w:t>
            </w:r>
            <w:r w:rsidRPr="00DF4A38">
              <w:rPr>
                <w:rFonts w:cs="David"/>
                <w:b/>
                <w:bCs w:val="0"/>
                <w:sz w:val="24"/>
                <w:szCs w:val="24"/>
                <w:rtl/>
              </w:rPr>
              <w:t>)</w:t>
            </w:r>
          </w:p>
        </w:tc>
        <w:tc>
          <w:tcPr>
            <w:tcW w:w="3261" w:type="dxa"/>
          </w:tcPr>
          <w:p w:rsidR="0043370C" w:rsidRPr="00CA0D01" w:rsidRDefault="0043370C" w:rsidP="00E01CB5">
            <w:pPr>
              <w:rPr>
                <w:rFonts w:cs="David"/>
                <w:b/>
                <w:bCs w:val="0"/>
                <w:sz w:val="24"/>
                <w:szCs w:val="24"/>
                <w:rtl/>
              </w:rPr>
            </w:pPr>
            <w:r w:rsidRPr="00DF4A38">
              <w:rPr>
                <w:rFonts w:cs="David" w:hint="cs"/>
                <w:b/>
                <w:bCs w:val="0"/>
                <w:sz w:val="24"/>
                <w:szCs w:val="24"/>
                <w:rtl/>
              </w:rPr>
              <w:t>האם</w:t>
            </w:r>
            <w:r w:rsidRPr="00DF4A38">
              <w:rPr>
                <w:rFonts w:cs="David"/>
                <w:b/>
                <w:bCs w:val="0"/>
                <w:sz w:val="24"/>
                <w:szCs w:val="24"/>
                <w:rtl/>
              </w:rPr>
              <w:t xml:space="preserve"> </w:t>
            </w:r>
            <w:r w:rsidRPr="00DF4A38">
              <w:rPr>
                <w:rFonts w:cs="David" w:hint="cs"/>
                <w:b/>
                <w:bCs w:val="0"/>
                <w:sz w:val="24"/>
                <w:szCs w:val="24"/>
                <w:rtl/>
              </w:rPr>
              <w:t>גופים</w:t>
            </w:r>
            <w:r w:rsidRPr="00DF4A38">
              <w:rPr>
                <w:rFonts w:cs="David"/>
                <w:b/>
                <w:bCs w:val="0"/>
                <w:sz w:val="24"/>
                <w:szCs w:val="24"/>
                <w:rtl/>
              </w:rPr>
              <w:t xml:space="preserve"> </w:t>
            </w:r>
            <w:r w:rsidRPr="00DF4A38">
              <w:rPr>
                <w:rFonts w:cs="David" w:hint="cs"/>
                <w:b/>
                <w:bCs w:val="0"/>
                <w:sz w:val="24"/>
                <w:szCs w:val="24"/>
                <w:rtl/>
              </w:rPr>
              <w:t>ציבוריים</w:t>
            </w:r>
            <w:r w:rsidRPr="00DF4A38">
              <w:rPr>
                <w:rFonts w:cs="David"/>
                <w:b/>
                <w:bCs w:val="0"/>
                <w:sz w:val="24"/>
                <w:szCs w:val="24"/>
                <w:rtl/>
              </w:rPr>
              <w:t xml:space="preserve">, </w:t>
            </w:r>
            <w:r w:rsidRPr="00DF4A38">
              <w:rPr>
                <w:rFonts w:cs="David" w:hint="cs"/>
                <w:b/>
                <w:bCs w:val="0"/>
                <w:sz w:val="24"/>
                <w:szCs w:val="24"/>
                <w:rtl/>
              </w:rPr>
              <w:t>בהם</w:t>
            </w:r>
            <w:r w:rsidRPr="00DF4A38">
              <w:rPr>
                <w:rFonts w:cs="David"/>
                <w:b/>
                <w:bCs w:val="0"/>
                <w:sz w:val="24"/>
                <w:szCs w:val="24"/>
                <w:rtl/>
              </w:rPr>
              <w:t xml:space="preserve"> </w:t>
            </w:r>
            <w:r w:rsidRPr="00DF4A38">
              <w:rPr>
                <w:rFonts w:cs="David" w:hint="cs"/>
                <w:b/>
                <w:bCs w:val="0"/>
                <w:sz w:val="24"/>
                <w:szCs w:val="24"/>
                <w:rtl/>
              </w:rPr>
              <w:t>ניתן</w:t>
            </w:r>
            <w:r w:rsidRPr="00DF4A38">
              <w:rPr>
                <w:rFonts w:cs="David"/>
                <w:b/>
                <w:bCs w:val="0"/>
                <w:sz w:val="24"/>
                <w:szCs w:val="24"/>
                <w:rtl/>
              </w:rPr>
              <w:t xml:space="preserve"> </w:t>
            </w:r>
            <w:r w:rsidRPr="00DF4A38">
              <w:rPr>
                <w:rFonts w:cs="David" w:hint="cs"/>
                <w:b/>
                <w:bCs w:val="0"/>
                <w:sz w:val="24"/>
                <w:szCs w:val="24"/>
                <w:rtl/>
              </w:rPr>
              <w:t>על</w:t>
            </w:r>
            <w:r w:rsidRPr="00DF4A38">
              <w:rPr>
                <w:rFonts w:cs="David"/>
                <w:b/>
                <w:bCs w:val="0"/>
                <w:sz w:val="24"/>
                <w:szCs w:val="24"/>
                <w:rtl/>
              </w:rPr>
              <w:t xml:space="preserve"> </w:t>
            </w:r>
            <w:r w:rsidRPr="00DF4A38">
              <w:rPr>
                <w:rFonts w:cs="David" w:hint="cs"/>
                <w:b/>
                <w:bCs w:val="0"/>
                <w:sz w:val="24"/>
                <w:szCs w:val="24"/>
                <w:rtl/>
              </w:rPr>
              <w:t>ידי</w:t>
            </w:r>
            <w:r w:rsidRPr="00DF4A38">
              <w:rPr>
                <w:rFonts w:cs="David"/>
                <w:b/>
                <w:bCs w:val="0"/>
                <w:sz w:val="24"/>
                <w:szCs w:val="24"/>
                <w:rtl/>
              </w:rPr>
              <w:t xml:space="preserve"> </w:t>
            </w:r>
            <w:r w:rsidRPr="00DF4A38">
              <w:rPr>
                <w:rFonts w:cs="David" w:hint="cs"/>
                <w:b/>
                <w:bCs w:val="0"/>
                <w:sz w:val="24"/>
                <w:szCs w:val="24"/>
                <w:rtl/>
              </w:rPr>
              <w:t>המציע</w:t>
            </w:r>
            <w:r w:rsidRPr="00DF4A38">
              <w:rPr>
                <w:rFonts w:cs="David"/>
                <w:b/>
                <w:bCs w:val="0"/>
                <w:sz w:val="24"/>
                <w:szCs w:val="24"/>
                <w:rtl/>
              </w:rPr>
              <w:t xml:space="preserve">, </w:t>
            </w:r>
            <w:r w:rsidRPr="00DF4A38">
              <w:rPr>
                <w:rFonts w:cs="David" w:hint="cs"/>
                <w:b/>
                <w:bCs w:val="0"/>
                <w:sz w:val="24"/>
                <w:szCs w:val="24"/>
                <w:rtl/>
              </w:rPr>
              <w:t>העוסק</w:t>
            </w:r>
            <w:r w:rsidRPr="00DF4A38">
              <w:rPr>
                <w:rFonts w:cs="David"/>
                <w:b/>
                <w:bCs w:val="0"/>
                <w:sz w:val="24"/>
                <w:szCs w:val="24"/>
                <w:rtl/>
              </w:rPr>
              <w:t xml:space="preserve"> </w:t>
            </w:r>
            <w:r w:rsidRPr="00DF4A38">
              <w:rPr>
                <w:rFonts w:cs="David" w:hint="cs"/>
                <w:b/>
                <w:bCs w:val="0"/>
                <w:sz w:val="24"/>
                <w:szCs w:val="24"/>
                <w:rtl/>
              </w:rPr>
              <w:t>בין</w:t>
            </w:r>
            <w:r w:rsidRPr="00DF4A38">
              <w:rPr>
                <w:rFonts w:cs="David"/>
                <w:b/>
                <w:bCs w:val="0"/>
                <w:sz w:val="24"/>
                <w:szCs w:val="24"/>
                <w:rtl/>
              </w:rPr>
              <w:t xml:space="preserve"> </w:t>
            </w:r>
            <w:r w:rsidRPr="00DF4A38">
              <w:rPr>
                <w:rFonts w:cs="David" w:hint="cs"/>
                <w:b/>
                <w:bCs w:val="0"/>
                <w:sz w:val="24"/>
                <w:szCs w:val="24"/>
                <w:rtl/>
              </w:rPr>
              <w:t>היתר</w:t>
            </w:r>
            <w:r w:rsidRPr="00DF4A38">
              <w:rPr>
                <w:rFonts w:cs="David"/>
                <w:b/>
                <w:bCs w:val="0"/>
                <w:sz w:val="24"/>
                <w:szCs w:val="24"/>
                <w:rtl/>
              </w:rPr>
              <w:t xml:space="preserve"> </w:t>
            </w:r>
            <w:r w:rsidRPr="00DF4A38">
              <w:rPr>
                <w:rFonts w:cs="David" w:hint="cs"/>
                <w:b/>
                <w:bCs w:val="0"/>
                <w:sz w:val="24"/>
                <w:szCs w:val="24"/>
                <w:rtl/>
              </w:rPr>
              <w:t>בתחומי</w:t>
            </w:r>
            <w:r w:rsidRPr="00DF4A38">
              <w:rPr>
                <w:rFonts w:cs="David"/>
                <w:b/>
                <w:bCs w:val="0"/>
                <w:sz w:val="24"/>
                <w:szCs w:val="24"/>
                <w:rtl/>
              </w:rPr>
              <w:t xml:space="preserve"> </w:t>
            </w:r>
            <w:r w:rsidRPr="00DF4A38">
              <w:rPr>
                <w:rFonts w:cs="David" w:hint="cs"/>
                <w:b/>
                <w:bCs w:val="0"/>
                <w:sz w:val="24"/>
                <w:szCs w:val="24"/>
                <w:rtl/>
              </w:rPr>
              <w:t>משפט</w:t>
            </w:r>
            <w:r w:rsidRPr="00DF4A38">
              <w:rPr>
                <w:rFonts w:cs="David"/>
                <w:b/>
                <w:bCs w:val="0"/>
                <w:sz w:val="24"/>
                <w:szCs w:val="24"/>
                <w:rtl/>
              </w:rPr>
              <w:t xml:space="preserve"> </w:t>
            </w:r>
            <w:r w:rsidRPr="00DF4A38">
              <w:rPr>
                <w:rFonts w:cs="David" w:hint="cs"/>
                <w:b/>
                <w:bCs w:val="0"/>
                <w:sz w:val="24"/>
                <w:szCs w:val="24"/>
                <w:rtl/>
              </w:rPr>
              <w:t>אזרחי</w:t>
            </w:r>
            <w:r w:rsidRPr="00DF4A38">
              <w:rPr>
                <w:rFonts w:cs="David"/>
                <w:b/>
                <w:bCs w:val="0"/>
                <w:sz w:val="24"/>
                <w:szCs w:val="24"/>
                <w:rtl/>
              </w:rPr>
              <w:t xml:space="preserve"> ( </w:t>
            </w:r>
            <w:r w:rsidRPr="00DF4A38">
              <w:rPr>
                <w:rFonts w:cs="David" w:hint="cs"/>
                <w:b/>
                <w:bCs w:val="0"/>
                <w:sz w:val="24"/>
                <w:szCs w:val="24"/>
                <w:rtl/>
              </w:rPr>
              <w:t>כגון</w:t>
            </w:r>
            <w:r w:rsidRPr="00DF4A38">
              <w:rPr>
                <w:rFonts w:cs="David"/>
                <w:b/>
                <w:bCs w:val="0"/>
                <w:sz w:val="24"/>
                <w:szCs w:val="24"/>
                <w:rtl/>
              </w:rPr>
              <w:t xml:space="preserve"> </w:t>
            </w:r>
            <w:r w:rsidRPr="00DF4A38">
              <w:rPr>
                <w:rFonts w:cs="David" w:hint="cs"/>
                <w:b/>
                <w:bCs w:val="0"/>
                <w:sz w:val="24"/>
                <w:szCs w:val="24"/>
                <w:rtl/>
              </w:rPr>
              <w:t>חוזים</w:t>
            </w:r>
            <w:r w:rsidRPr="00DF4A38">
              <w:rPr>
                <w:rFonts w:cs="David"/>
                <w:b/>
                <w:bCs w:val="0"/>
                <w:sz w:val="24"/>
                <w:szCs w:val="24"/>
                <w:rtl/>
              </w:rPr>
              <w:t xml:space="preserve">, </w:t>
            </w:r>
            <w:r w:rsidRPr="00DF4A38">
              <w:rPr>
                <w:rFonts w:cs="David" w:hint="cs"/>
                <w:b/>
                <w:bCs w:val="0"/>
                <w:sz w:val="24"/>
                <w:szCs w:val="24"/>
                <w:rtl/>
              </w:rPr>
              <w:t>דיני</w:t>
            </w:r>
            <w:r w:rsidRPr="00DF4A38">
              <w:rPr>
                <w:rFonts w:cs="David"/>
                <w:b/>
                <w:bCs w:val="0"/>
                <w:sz w:val="24"/>
                <w:szCs w:val="24"/>
                <w:rtl/>
              </w:rPr>
              <w:t xml:space="preserve"> </w:t>
            </w:r>
            <w:r w:rsidRPr="00DF4A38">
              <w:rPr>
                <w:rFonts w:cs="David" w:hint="cs"/>
                <w:b/>
                <w:bCs w:val="0"/>
                <w:sz w:val="24"/>
                <w:szCs w:val="24"/>
                <w:rtl/>
              </w:rPr>
              <w:t>תאגידים</w:t>
            </w:r>
            <w:r w:rsidRPr="00DF4A38">
              <w:rPr>
                <w:rFonts w:cs="David"/>
                <w:b/>
                <w:bCs w:val="0"/>
                <w:sz w:val="24"/>
                <w:szCs w:val="24"/>
                <w:rtl/>
              </w:rPr>
              <w:t xml:space="preserve"> </w:t>
            </w:r>
            <w:r w:rsidRPr="00DF4A38">
              <w:rPr>
                <w:rFonts w:cs="David" w:hint="cs"/>
                <w:b/>
                <w:bCs w:val="0"/>
                <w:sz w:val="24"/>
                <w:szCs w:val="24"/>
                <w:rtl/>
              </w:rPr>
              <w:t>וכד</w:t>
            </w:r>
            <w:r w:rsidRPr="00DF4A38">
              <w:rPr>
                <w:rFonts w:cs="David"/>
                <w:b/>
                <w:bCs w:val="0"/>
                <w:sz w:val="24"/>
                <w:szCs w:val="24"/>
                <w:rtl/>
              </w:rPr>
              <w:t xml:space="preserve">') </w:t>
            </w:r>
            <w:r w:rsidRPr="00DF4A38">
              <w:rPr>
                <w:rFonts w:cs="David" w:hint="cs"/>
                <w:b/>
                <w:bCs w:val="0"/>
                <w:sz w:val="24"/>
                <w:szCs w:val="24"/>
                <w:rtl/>
              </w:rPr>
              <w:t>יהווה</w:t>
            </w:r>
            <w:r w:rsidRPr="00DF4A38">
              <w:rPr>
                <w:rFonts w:cs="David"/>
                <w:b/>
                <w:bCs w:val="0"/>
                <w:sz w:val="24"/>
                <w:szCs w:val="24"/>
                <w:rtl/>
              </w:rPr>
              <w:t xml:space="preserve"> </w:t>
            </w:r>
            <w:r w:rsidRPr="00DF4A38">
              <w:rPr>
                <w:rFonts w:cs="David" w:hint="cs"/>
                <w:b/>
                <w:bCs w:val="0"/>
                <w:sz w:val="24"/>
                <w:szCs w:val="24"/>
                <w:rtl/>
              </w:rPr>
              <w:t>ממליץ</w:t>
            </w:r>
            <w:r w:rsidRPr="00DF4A38">
              <w:rPr>
                <w:rFonts w:cs="David"/>
                <w:b/>
                <w:bCs w:val="0"/>
                <w:sz w:val="24"/>
                <w:szCs w:val="24"/>
                <w:rtl/>
              </w:rPr>
              <w:t xml:space="preserve"> </w:t>
            </w:r>
            <w:r w:rsidRPr="00DF4A38">
              <w:rPr>
                <w:rFonts w:cs="David" w:hint="cs"/>
                <w:b/>
                <w:bCs w:val="0"/>
                <w:sz w:val="24"/>
                <w:szCs w:val="24"/>
                <w:rtl/>
              </w:rPr>
              <w:t>לצורכי</w:t>
            </w:r>
            <w:r w:rsidRPr="00DF4A38">
              <w:rPr>
                <w:rFonts w:cs="David"/>
                <w:b/>
                <w:bCs w:val="0"/>
                <w:sz w:val="24"/>
                <w:szCs w:val="24"/>
                <w:rtl/>
              </w:rPr>
              <w:t xml:space="preserve"> </w:t>
            </w:r>
            <w:r w:rsidRPr="00DF4A38">
              <w:rPr>
                <w:rFonts w:cs="David" w:hint="cs"/>
                <w:b/>
                <w:bCs w:val="0"/>
                <w:sz w:val="24"/>
                <w:szCs w:val="24"/>
                <w:rtl/>
              </w:rPr>
              <w:t>ההליך</w:t>
            </w:r>
            <w:r w:rsidRPr="00DF4A38">
              <w:rPr>
                <w:rFonts w:cs="David"/>
                <w:b/>
                <w:bCs w:val="0"/>
                <w:sz w:val="24"/>
                <w:szCs w:val="24"/>
                <w:rtl/>
              </w:rPr>
              <w:t xml:space="preserve"> ?   </w:t>
            </w:r>
          </w:p>
        </w:tc>
        <w:tc>
          <w:tcPr>
            <w:tcW w:w="4536" w:type="dxa"/>
          </w:tcPr>
          <w:p w:rsidR="0043370C" w:rsidRPr="00CA0D01" w:rsidRDefault="0043370C" w:rsidP="00E01CB5">
            <w:pPr>
              <w:rPr>
                <w:rFonts w:cs="David"/>
                <w:b/>
                <w:bCs w:val="0"/>
                <w:sz w:val="24"/>
                <w:szCs w:val="24"/>
                <w:rtl/>
              </w:rPr>
            </w:pPr>
            <w:r>
              <w:rPr>
                <w:rFonts w:cs="David" w:hint="cs"/>
                <w:b/>
                <w:bCs w:val="0"/>
                <w:sz w:val="24"/>
                <w:szCs w:val="24"/>
                <w:rtl/>
              </w:rPr>
              <w:t xml:space="preserve">בהתאם לסעיף 26 יש לצרף המלצות, בין אם של גופים פרטיים ובין אם של גופים ציבוריים. </w:t>
            </w:r>
            <w:r>
              <w:rPr>
                <w:rFonts w:cs="David"/>
                <w:b/>
                <w:bCs w:val="0"/>
                <w:sz w:val="24"/>
                <w:szCs w:val="24"/>
                <w:rtl/>
              </w:rPr>
              <w:br/>
            </w:r>
            <w:r>
              <w:rPr>
                <w:rFonts w:cs="David" w:hint="cs"/>
                <w:b/>
                <w:bCs w:val="0"/>
                <w:sz w:val="24"/>
                <w:szCs w:val="24"/>
                <w:rtl/>
              </w:rPr>
              <w:t xml:space="preserve">בכל מקרה, בהתאם לסיפא של הסעיף, יש לצרף את פרטי אנשי קשר. </w:t>
            </w:r>
          </w:p>
        </w:tc>
      </w:tr>
      <w:tr w:rsidR="0043370C" w:rsidRPr="00CA0D01" w:rsidTr="00E01CB5">
        <w:tc>
          <w:tcPr>
            <w:tcW w:w="850" w:type="dxa"/>
          </w:tcPr>
          <w:p w:rsidR="0043370C" w:rsidRPr="00CA0D01" w:rsidRDefault="0043370C" w:rsidP="00E01CB5">
            <w:pPr>
              <w:rPr>
                <w:rFonts w:cs="David"/>
                <w:b/>
                <w:bCs w:val="0"/>
                <w:sz w:val="24"/>
                <w:szCs w:val="24"/>
                <w:rtl/>
              </w:rPr>
            </w:pPr>
            <w:r>
              <w:rPr>
                <w:rFonts w:cs="David" w:hint="cs"/>
                <w:b/>
                <w:bCs w:val="0"/>
                <w:sz w:val="24"/>
                <w:szCs w:val="24"/>
                <w:rtl/>
              </w:rPr>
              <w:t>3.</w:t>
            </w:r>
          </w:p>
        </w:tc>
        <w:tc>
          <w:tcPr>
            <w:tcW w:w="1559" w:type="dxa"/>
          </w:tcPr>
          <w:p w:rsidR="0043370C" w:rsidRDefault="0043370C" w:rsidP="00E01CB5">
            <w:pPr>
              <w:rPr>
                <w:rFonts w:cs="David"/>
                <w:b/>
                <w:bCs w:val="0"/>
                <w:sz w:val="24"/>
                <w:szCs w:val="24"/>
                <w:rtl/>
              </w:rPr>
            </w:pPr>
            <w:r w:rsidRPr="00DF4A38">
              <w:rPr>
                <w:rFonts w:cs="David" w:hint="cs"/>
                <w:b/>
                <w:bCs w:val="0"/>
                <w:sz w:val="24"/>
                <w:szCs w:val="24"/>
                <w:rtl/>
              </w:rPr>
              <w:t xml:space="preserve">סעיף 15.3 </w:t>
            </w:r>
            <w:r>
              <w:rPr>
                <w:rFonts w:cs="David" w:hint="cs"/>
                <w:b/>
                <w:bCs w:val="0"/>
                <w:sz w:val="24"/>
                <w:szCs w:val="24"/>
                <w:rtl/>
              </w:rPr>
              <w:t xml:space="preserve">לחוזה </w:t>
            </w:r>
          </w:p>
          <w:p w:rsidR="0043370C" w:rsidRPr="00CA0D01" w:rsidRDefault="0043370C" w:rsidP="00E01CB5">
            <w:pPr>
              <w:rPr>
                <w:rFonts w:cs="David"/>
                <w:b/>
                <w:bCs w:val="0"/>
                <w:sz w:val="24"/>
                <w:szCs w:val="24"/>
                <w:rtl/>
              </w:rPr>
            </w:pPr>
            <w:r w:rsidRPr="00DF4A38">
              <w:rPr>
                <w:rFonts w:cs="David" w:hint="cs"/>
                <w:b/>
                <w:bCs w:val="0"/>
                <w:sz w:val="24"/>
                <w:szCs w:val="24"/>
                <w:rtl/>
              </w:rPr>
              <w:t>(עמ' 42)</w:t>
            </w:r>
          </w:p>
        </w:tc>
        <w:tc>
          <w:tcPr>
            <w:tcW w:w="3261" w:type="dxa"/>
          </w:tcPr>
          <w:p w:rsidR="0043370C" w:rsidRPr="00CA0D01" w:rsidRDefault="0043370C" w:rsidP="00E01CB5">
            <w:pPr>
              <w:rPr>
                <w:rFonts w:cs="David"/>
                <w:b/>
                <w:bCs w:val="0"/>
                <w:sz w:val="24"/>
                <w:szCs w:val="24"/>
                <w:rtl/>
              </w:rPr>
            </w:pPr>
            <w:r w:rsidRPr="00DF4A38">
              <w:rPr>
                <w:rFonts w:cs="David" w:hint="cs"/>
                <w:b/>
                <w:bCs w:val="0"/>
                <w:sz w:val="24"/>
                <w:szCs w:val="24"/>
                <w:rtl/>
              </w:rPr>
              <w:t xml:space="preserve">האם הסעיף משקף את </w:t>
            </w:r>
            <w:r>
              <w:rPr>
                <w:rFonts w:cs="David" w:hint="cs"/>
                <w:b/>
                <w:bCs w:val="0"/>
                <w:sz w:val="24"/>
                <w:szCs w:val="24"/>
                <w:rtl/>
              </w:rPr>
              <w:t>ה</w:t>
            </w:r>
            <w:r w:rsidRPr="00DF4A38">
              <w:rPr>
                <w:rFonts w:cs="David" w:hint="cs"/>
                <w:b/>
                <w:bCs w:val="0"/>
                <w:sz w:val="24"/>
                <w:szCs w:val="24"/>
                <w:rtl/>
              </w:rPr>
              <w:t>מצב הקיים בו מספר ישיבות בלתי מהותיות בבית הדין בתיק עלול להגיע בין 3 ל- 6 ישיבות, אשר מסיבה זו או אחרת לא מתקיימת ישיבה בפועל כנקבע ומסיבות אשר אינן תלויות בספק והספק לא יקבל כל תמורה עבור התייצבותו בפועל לדיון</w:t>
            </w:r>
          </w:p>
        </w:tc>
        <w:tc>
          <w:tcPr>
            <w:tcW w:w="4536" w:type="dxa"/>
          </w:tcPr>
          <w:p w:rsidR="0043370C" w:rsidRDefault="0043370C" w:rsidP="00E01CB5">
            <w:pPr>
              <w:rPr>
                <w:rFonts w:cs="David"/>
                <w:b/>
                <w:bCs w:val="0"/>
                <w:sz w:val="24"/>
                <w:szCs w:val="24"/>
                <w:rtl/>
              </w:rPr>
            </w:pPr>
            <w:r w:rsidRPr="00B93326">
              <w:rPr>
                <w:rFonts w:cs="David" w:hint="cs"/>
                <w:sz w:val="24"/>
                <w:szCs w:val="24"/>
                <w:rtl/>
              </w:rPr>
              <w:t>א.</w:t>
            </w:r>
            <w:r>
              <w:rPr>
                <w:rFonts w:cs="David" w:hint="cs"/>
                <w:b/>
                <w:bCs w:val="0"/>
                <w:sz w:val="24"/>
                <w:szCs w:val="24"/>
                <w:rtl/>
              </w:rPr>
              <w:t xml:space="preserve"> הספק יקבל תמורה עבור "ישיבת בית משפט", כאשר במקרה של "ישיבה בלתי מהותית" לא תתקבל תמורה נוספת.</w:t>
            </w:r>
          </w:p>
          <w:p w:rsidR="0043370C" w:rsidRPr="00CA0D01" w:rsidRDefault="0043370C" w:rsidP="00E01CB5">
            <w:pPr>
              <w:rPr>
                <w:rFonts w:cs="David"/>
                <w:b/>
                <w:bCs w:val="0"/>
                <w:sz w:val="24"/>
                <w:szCs w:val="24"/>
                <w:rtl/>
              </w:rPr>
            </w:pPr>
            <w:r w:rsidRPr="00B93326">
              <w:rPr>
                <w:rFonts w:cs="David" w:hint="cs"/>
                <w:sz w:val="24"/>
                <w:szCs w:val="24"/>
                <w:rtl/>
              </w:rPr>
              <w:t>ב.</w:t>
            </w:r>
            <w:r>
              <w:rPr>
                <w:rFonts w:cs="David" w:hint="cs"/>
                <w:b/>
                <w:bCs w:val="0"/>
                <w:sz w:val="24"/>
                <w:szCs w:val="24"/>
                <w:rtl/>
              </w:rPr>
              <w:t xml:space="preserve"> לא ניתן לצפות את מספר הישיבות הבלתי מהותיות אשר תתקיימנה בתיק זה או אחר.</w:t>
            </w:r>
          </w:p>
        </w:tc>
      </w:tr>
      <w:tr w:rsidR="0043370C" w:rsidRPr="00CA0D01" w:rsidTr="00E01CB5">
        <w:tc>
          <w:tcPr>
            <w:tcW w:w="850" w:type="dxa"/>
          </w:tcPr>
          <w:p w:rsidR="0043370C" w:rsidRPr="00CA0D01" w:rsidRDefault="0043370C" w:rsidP="00E01CB5">
            <w:pPr>
              <w:rPr>
                <w:rFonts w:cs="David"/>
                <w:b/>
                <w:bCs w:val="0"/>
                <w:sz w:val="24"/>
                <w:szCs w:val="24"/>
                <w:rtl/>
              </w:rPr>
            </w:pPr>
            <w:r>
              <w:rPr>
                <w:rFonts w:cs="David" w:hint="cs"/>
                <w:b/>
                <w:bCs w:val="0"/>
                <w:sz w:val="24"/>
                <w:szCs w:val="24"/>
                <w:rtl/>
              </w:rPr>
              <w:t>4.</w:t>
            </w:r>
          </w:p>
        </w:tc>
        <w:tc>
          <w:tcPr>
            <w:tcW w:w="1559" w:type="dxa"/>
          </w:tcPr>
          <w:p w:rsidR="0043370C" w:rsidRPr="00CA0D01" w:rsidRDefault="0043370C" w:rsidP="00E01CB5">
            <w:pPr>
              <w:rPr>
                <w:rFonts w:cs="David"/>
                <w:b/>
                <w:bCs w:val="0"/>
                <w:sz w:val="24"/>
                <w:szCs w:val="24"/>
                <w:rtl/>
              </w:rPr>
            </w:pPr>
            <w:r>
              <w:rPr>
                <w:rFonts w:cs="David" w:hint="cs"/>
                <w:b/>
                <w:bCs w:val="0"/>
                <w:sz w:val="24"/>
                <w:szCs w:val="24"/>
                <w:rtl/>
              </w:rPr>
              <w:t xml:space="preserve">סעיף 16.1.2 לחוזה </w:t>
            </w:r>
            <w:r w:rsidRPr="00DF4A38">
              <w:rPr>
                <w:rFonts w:cs="David" w:hint="cs"/>
                <w:b/>
                <w:bCs w:val="0"/>
                <w:sz w:val="24"/>
                <w:szCs w:val="24"/>
                <w:rtl/>
              </w:rPr>
              <w:t>(עמ' 49)</w:t>
            </w:r>
          </w:p>
        </w:tc>
        <w:tc>
          <w:tcPr>
            <w:tcW w:w="3261" w:type="dxa"/>
          </w:tcPr>
          <w:p w:rsidR="0043370C" w:rsidRPr="00CA0D01" w:rsidRDefault="0043370C" w:rsidP="00E01CB5">
            <w:pPr>
              <w:rPr>
                <w:rFonts w:cs="David"/>
                <w:b/>
                <w:bCs w:val="0"/>
                <w:sz w:val="24"/>
                <w:szCs w:val="24"/>
                <w:rtl/>
              </w:rPr>
            </w:pPr>
            <w:r w:rsidRPr="00DF4A38">
              <w:rPr>
                <w:rFonts w:cs="David" w:hint="cs"/>
                <w:b/>
                <w:bCs w:val="0"/>
                <w:sz w:val="24"/>
                <w:szCs w:val="24"/>
                <w:rtl/>
              </w:rPr>
              <w:t>האם בקשה שני</w:t>
            </w:r>
            <w:r>
              <w:rPr>
                <w:rFonts w:cs="David" w:hint="cs"/>
                <w:b/>
                <w:bCs w:val="0"/>
                <w:sz w:val="24"/>
                <w:szCs w:val="24"/>
                <w:rtl/>
              </w:rPr>
              <w:t>י</w:t>
            </w:r>
            <w:r w:rsidRPr="00DF4A38">
              <w:rPr>
                <w:rFonts w:cs="David" w:hint="cs"/>
                <w:b/>
                <w:bCs w:val="0"/>
                <w:sz w:val="24"/>
                <w:szCs w:val="24"/>
                <w:rtl/>
              </w:rPr>
              <w:t>ה לביצוע תשלום משקפת את פרק זמן לפעמים מעבר ל- 12 חודשים בהעדר תגמול עבור הפעולות בין מועד להקראה ראשונה לבין קביעת תיק לישיבת הוכחות, כאשר עשויים להתקיים מס' ישיבות בלתי מהותיות בתיק, לקיים מגעים בין הגורמים הרלוונטיים , עולות טענות מקדמיות ואחרות ומספר פעולות בתיק הוא לא מבוטל אשר תמורה תתקבל אך רק לאחר קביעת מועד הראשון להוכחות</w:t>
            </w:r>
          </w:p>
        </w:tc>
        <w:tc>
          <w:tcPr>
            <w:tcW w:w="4536" w:type="dxa"/>
          </w:tcPr>
          <w:p w:rsidR="0043370C" w:rsidRPr="00CA0D01" w:rsidRDefault="0043370C" w:rsidP="00E01CB5">
            <w:pPr>
              <w:rPr>
                <w:rFonts w:cs="David"/>
                <w:b/>
                <w:bCs w:val="0"/>
                <w:sz w:val="24"/>
                <w:szCs w:val="24"/>
                <w:rtl/>
              </w:rPr>
            </w:pPr>
            <w:r>
              <w:rPr>
                <w:rFonts w:cs="David" w:hint="cs"/>
                <w:b/>
                <w:bCs w:val="0"/>
                <w:sz w:val="24"/>
                <w:szCs w:val="24"/>
                <w:rtl/>
              </w:rPr>
              <w:t xml:space="preserve">בהתאם לסעיף 16.1.2, בקשת תשלום שניה תוגש עבור כל הפעולות המזכות בתשלום בהתאם להוראות המכרז, שבוצעו בתיק ממועד הגשת כתב האישום ועד קביעת התיק להוכחות. </w:t>
            </w:r>
            <w:r>
              <w:rPr>
                <w:rFonts w:cs="David"/>
                <w:b/>
                <w:bCs w:val="0"/>
                <w:sz w:val="24"/>
                <w:szCs w:val="24"/>
                <w:rtl/>
              </w:rPr>
              <w:br/>
            </w:r>
            <w:r>
              <w:rPr>
                <w:rFonts w:cs="David" w:hint="cs"/>
                <w:b/>
                <w:bCs w:val="0"/>
                <w:sz w:val="24"/>
                <w:szCs w:val="24"/>
                <w:rtl/>
              </w:rPr>
              <w:t>לא ניתן לקבוע ממוצע זמנים לפרק זמן זה.</w:t>
            </w:r>
            <w:r>
              <w:rPr>
                <w:rFonts w:cs="David"/>
                <w:b/>
                <w:bCs w:val="0"/>
                <w:sz w:val="24"/>
                <w:szCs w:val="24"/>
                <w:rtl/>
              </w:rPr>
              <w:br/>
            </w:r>
          </w:p>
        </w:tc>
      </w:tr>
      <w:tr w:rsidR="0043370C" w:rsidRPr="00CA0D01" w:rsidTr="00E01CB5">
        <w:tc>
          <w:tcPr>
            <w:tcW w:w="850" w:type="dxa"/>
          </w:tcPr>
          <w:p w:rsidR="0043370C" w:rsidRPr="00CA0D01" w:rsidRDefault="0043370C" w:rsidP="00E01CB5">
            <w:pPr>
              <w:rPr>
                <w:rFonts w:cs="David"/>
                <w:b/>
                <w:bCs w:val="0"/>
                <w:sz w:val="24"/>
                <w:szCs w:val="24"/>
                <w:rtl/>
              </w:rPr>
            </w:pPr>
            <w:r>
              <w:rPr>
                <w:rFonts w:cs="David" w:hint="cs"/>
                <w:b/>
                <w:bCs w:val="0"/>
                <w:sz w:val="24"/>
                <w:szCs w:val="24"/>
                <w:rtl/>
              </w:rPr>
              <w:t>5.</w:t>
            </w:r>
          </w:p>
        </w:tc>
        <w:tc>
          <w:tcPr>
            <w:tcW w:w="1559" w:type="dxa"/>
          </w:tcPr>
          <w:p w:rsidR="0043370C" w:rsidRDefault="0043370C" w:rsidP="00E01CB5">
            <w:pPr>
              <w:rPr>
                <w:rFonts w:cs="David"/>
                <w:b/>
                <w:bCs w:val="0"/>
                <w:sz w:val="24"/>
                <w:szCs w:val="24"/>
                <w:rtl/>
              </w:rPr>
            </w:pPr>
            <w:r w:rsidRPr="00DF4A38">
              <w:rPr>
                <w:rFonts w:cs="David" w:hint="cs"/>
                <w:b/>
                <w:bCs w:val="0"/>
                <w:sz w:val="24"/>
                <w:szCs w:val="24"/>
                <w:rtl/>
              </w:rPr>
              <w:t xml:space="preserve">סעיף 16.1.3 </w:t>
            </w:r>
          </w:p>
          <w:p w:rsidR="0043370C" w:rsidRPr="00CA0D01" w:rsidRDefault="0043370C" w:rsidP="00E01CB5">
            <w:pPr>
              <w:rPr>
                <w:rFonts w:cs="David"/>
                <w:b/>
                <w:bCs w:val="0"/>
                <w:sz w:val="24"/>
                <w:szCs w:val="24"/>
                <w:rtl/>
              </w:rPr>
            </w:pPr>
            <w:r>
              <w:rPr>
                <w:rFonts w:cs="David" w:hint="cs"/>
                <w:b/>
                <w:bCs w:val="0"/>
                <w:sz w:val="24"/>
                <w:szCs w:val="24"/>
                <w:rtl/>
              </w:rPr>
              <w:t xml:space="preserve">לחוזה </w:t>
            </w:r>
            <w:r w:rsidRPr="00DF4A38">
              <w:rPr>
                <w:rFonts w:cs="David" w:hint="cs"/>
                <w:b/>
                <w:bCs w:val="0"/>
                <w:sz w:val="24"/>
                <w:szCs w:val="24"/>
                <w:rtl/>
              </w:rPr>
              <w:t>(עמ' 49)</w:t>
            </w:r>
          </w:p>
        </w:tc>
        <w:tc>
          <w:tcPr>
            <w:tcW w:w="3261" w:type="dxa"/>
          </w:tcPr>
          <w:p w:rsidR="0043370C" w:rsidRPr="00CA0D01" w:rsidRDefault="0043370C" w:rsidP="00E01CB5">
            <w:pPr>
              <w:rPr>
                <w:rFonts w:cs="David"/>
                <w:b/>
                <w:bCs w:val="0"/>
                <w:sz w:val="24"/>
                <w:szCs w:val="24"/>
                <w:rtl/>
              </w:rPr>
            </w:pPr>
            <w:r w:rsidRPr="00DF4A38">
              <w:rPr>
                <w:rFonts w:cs="David" w:hint="cs"/>
                <w:b/>
                <w:bCs w:val="0"/>
                <w:sz w:val="24"/>
                <w:szCs w:val="24"/>
                <w:rtl/>
              </w:rPr>
              <w:t>האם בקשה שלישית לביצוע תשלום משקפת את פרק זמן עד 12 חודשים בהעדר תגמול עבור הפעולות בין מועד לישיבת הוכחות הראשונה לבין סיום הטיפול בתיק, כאשר עשויים להתקיים מס' ישיבות הוכחות, מגעים בין הצדדים להגעה להסדר בתיק, ישיבות להשמעת גזר דין וטיעונים לעונש, כאשר התמורה תתקבל אך רק לאחר סיום התיק ?</w:t>
            </w:r>
          </w:p>
        </w:tc>
        <w:tc>
          <w:tcPr>
            <w:tcW w:w="4536" w:type="dxa"/>
          </w:tcPr>
          <w:p w:rsidR="0043370C" w:rsidRPr="00CA0D01" w:rsidRDefault="0043370C" w:rsidP="00E01CB5">
            <w:pPr>
              <w:rPr>
                <w:rFonts w:cs="David"/>
                <w:b/>
                <w:bCs w:val="0"/>
                <w:sz w:val="24"/>
                <w:szCs w:val="24"/>
                <w:rtl/>
              </w:rPr>
            </w:pPr>
            <w:r>
              <w:rPr>
                <w:rFonts w:cs="David" w:hint="cs"/>
                <w:b/>
                <w:bCs w:val="0"/>
                <w:sz w:val="24"/>
                <w:szCs w:val="24"/>
                <w:rtl/>
              </w:rPr>
              <w:t>בהתאם לסעיף 16.1.3 בקשת תשלום שלישית תוגש עבור כל הפעולות המזכות בתשלום בהתאם להוראות המכרז, שבוצעו בתיק ממועד ישיבת ההוכחות הראשונה ועד סיום התיק.</w:t>
            </w:r>
            <w:r>
              <w:rPr>
                <w:rFonts w:cs="David"/>
                <w:b/>
                <w:bCs w:val="0"/>
                <w:sz w:val="24"/>
                <w:szCs w:val="24"/>
                <w:rtl/>
              </w:rPr>
              <w:br/>
            </w:r>
            <w:r>
              <w:rPr>
                <w:rFonts w:cs="David" w:hint="cs"/>
                <w:b/>
                <w:bCs w:val="0"/>
                <w:sz w:val="24"/>
                <w:szCs w:val="24"/>
                <w:rtl/>
              </w:rPr>
              <w:t>לא ניתן לקבוע ממוצע זמנים לפרק זמן זה.</w:t>
            </w:r>
          </w:p>
        </w:tc>
      </w:tr>
      <w:tr w:rsidR="0043370C" w:rsidRPr="00CA0D01" w:rsidTr="00E01CB5">
        <w:tc>
          <w:tcPr>
            <w:tcW w:w="850" w:type="dxa"/>
          </w:tcPr>
          <w:p w:rsidR="0043370C" w:rsidRDefault="0043370C" w:rsidP="00E01CB5">
            <w:pPr>
              <w:rPr>
                <w:rFonts w:cs="David"/>
                <w:b/>
                <w:bCs w:val="0"/>
                <w:sz w:val="24"/>
                <w:szCs w:val="24"/>
                <w:rtl/>
              </w:rPr>
            </w:pPr>
            <w:r>
              <w:rPr>
                <w:rFonts w:cs="David" w:hint="cs"/>
                <w:b/>
                <w:bCs w:val="0"/>
                <w:sz w:val="24"/>
                <w:szCs w:val="24"/>
                <w:rtl/>
              </w:rPr>
              <w:t>6.</w:t>
            </w:r>
          </w:p>
          <w:p w:rsidR="0043370C" w:rsidRPr="00C15D1A" w:rsidRDefault="0043370C" w:rsidP="00E01CB5">
            <w:pPr>
              <w:rPr>
                <w:rFonts w:cs="David"/>
                <w:sz w:val="24"/>
                <w:szCs w:val="24"/>
                <w:rtl/>
              </w:rPr>
            </w:pPr>
          </w:p>
        </w:tc>
        <w:tc>
          <w:tcPr>
            <w:tcW w:w="1559" w:type="dxa"/>
          </w:tcPr>
          <w:p w:rsidR="0043370C" w:rsidRPr="00CA0D01" w:rsidRDefault="0043370C" w:rsidP="00E01CB5">
            <w:pPr>
              <w:rPr>
                <w:rFonts w:cs="David"/>
                <w:b/>
                <w:bCs w:val="0"/>
                <w:sz w:val="24"/>
                <w:szCs w:val="24"/>
                <w:rtl/>
              </w:rPr>
            </w:pPr>
            <w:r w:rsidRPr="00DF4A38">
              <w:rPr>
                <w:rFonts w:cs="David" w:hint="cs"/>
                <w:b/>
                <w:bCs w:val="0"/>
                <w:sz w:val="24"/>
                <w:szCs w:val="24"/>
                <w:rtl/>
              </w:rPr>
              <w:t>סעיף</w:t>
            </w:r>
            <w:r w:rsidRPr="00DF4A38">
              <w:rPr>
                <w:rFonts w:cs="David"/>
                <w:b/>
                <w:bCs w:val="0"/>
                <w:sz w:val="24"/>
                <w:szCs w:val="24"/>
                <w:rtl/>
              </w:rPr>
              <w:t xml:space="preserve"> </w:t>
            </w:r>
            <w:r w:rsidRPr="00DF4A38">
              <w:rPr>
                <w:rFonts w:cs="David" w:hint="cs"/>
                <w:b/>
                <w:bCs w:val="0"/>
                <w:sz w:val="24"/>
                <w:szCs w:val="24"/>
                <w:rtl/>
              </w:rPr>
              <w:t>17</w:t>
            </w:r>
            <w:r w:rsidRPr="00DF4A38">
              <w:rPr>
                <w:rFonts w:cs="David"/>
                <w:b/>
                <w:bCs w:val="0"/>
                <w:sz w:val="24"/>
                <w:szCs w:val="24"/>
                <w:rtl/>
              </w:rPr>
              <w:t xml:space="preserve"> </w:t>
            </w:r>
            <w:r>
              <w:rPr>
                <w:rFonts w:cs="David" w:hint="cs"/>
                <w:b/>
                <w:bCs w:val="0"/>
                <w:sz w:val="24"/>
                <w:szCs w:val="24"/>
                <w:rtl/>
              </w:rPr>
              <w:t xml:space="preserve">לחוזה </w:t>
            </w:r>
            <w:r w:rsidRPr="00DF4A38">
              <w:rPr>
                <w:rFonts w:cs="David"/>
                <w:b/>
                <w:bCs w:val="0"/>
                <w:sz w:val="24"/>
                <w:szCs w:val="24"/>
                <w:rtl/>
              </w:rPr>
              <w:t>(</w:t>
            </w:r>
            <w:r w:rsidRPr="00DF4A38">
              <w:rPr>
                <w:rFonts w:cs="David" w:hint="cs"/>
                <w:b/>
                <w:bCs w:val="0"/>
                <w:sz w:val="24"/>
                <w:szCs w:val="24"/>
                <w:rtl/>
              </w:rPr>
              <w:t>עמ</w:t>
            </w:r>
            <w:r w:rsidRPr="00DF4A38">
              <w:rPr>
                <w:rFonts w:cs="David"/>
                <w:b/>
                <w:bCs w:val="0"/>
                <w:sz w:val="24"/>
                <w:szCs w:val="24"/>
                <w:rtl/>
              </w:rPr>
              <w:t xml:space="preserve">' </w:t>
            </w:r>
            <w:r w:rsidRPr="00DF4A38">
              <w:rPr>
                <w:rFonts w:cs="David" w:hint="cs"/>
                <w:b/>
                <w:bCs w:val="0"/>
                <w:sz w:val="24"/>
                <w:szCs w:val="24"/>
                <w:rtl/>
              </w:rPr>
              <w:t>50</w:t>
            </w:r>
            <w:r w:rsidRPr="00DF4A38">
              <w:rPr>
                <w:rFonts w:cs="David"/>
                <w:b/>
                <w:bCs w:val="0"/>
                <w:sz w:val="24"/>
                <w:szCs w:val="24"/>
                <w:rtl/>
              </w:rPr>
              <w:t>)</w:t>
            </w:r>
          </w:p>
        </w:tc>
        <w:tc>
          <w:tcPr>
            <w:tcW w:w="3261" w:type="dxa"/>
          </w:tcPr>
          <w:p w:rsidR="0043370C" w:rsidRPr="00CA0D01" w:rsidRDefault="0043370C" w:rsidP="00E01CB5">
            <w:pPr>
              <w:rPr>
                <w:rFonts w:cs="David"/>
                <w:b/>
                <w:bCs w:val="0"/>
                <w:sz w:val="24"/>
                <w:szCs w:val="24"/>
                <w:rtl/>
              </w:rPr>
            </w:pPr>
            <w:r w:rsidRPr="00DF4A38">
              <w:rPr>
                <w:rFonts w:cs="David" w:hint="cs"/>
                <w:b/>
                <w:bCs w:val="0"/>
                <w:sz w:val="24"/>
                <w:szCs w:val="24"/>
                <w:rtl/>
              </w:rPr>
              <w:t xml:space="preserve">האם עיכוב בהעברת </w:t>
            </w:r>
            <w:r>
              <w:rPr>
                <w:rFonts w:cs="David" w:hint="cs"/>
                <w:b/>
                <w:bCs w:val="0"/>
                <w:sz w:val="24"/>
                <w:szCs w:val="24"/>
                <w:rtl/>
              </w:rPr>
              <w:t>ה</w:t>
            </w:r>
            <w:r w:rsidRPr="00DF4A38">
              <w:rPr>
                <w:rFonts w:cs="David" w:hint="cs"/>
                <w:b/>
                <w:bCs w:val="0"/>
                <w:sz w:val="24"/>
                <w:szCs w:val="24"/>
                <w:rtl/>
              </w:rPr>
              <w:t>תמורה לספק יהיה צמוד במנגנון המתואר בסעיף זה ואם כן מה הוא המדד הקובע ביחס למועד העיכוב ?</w:t>
            </w:r>
            <w:r w:rsidRPr="00DF4A38">
              <w:rPr>
                <w:rFonts w:cs="David"/>
                <w:b/>
                <w:bCs w:val="0"/>
                <w:sz w:val="24"/>
                <w:szCs w:val="24"/>
                <w:rtl/>
              </w:rPr>
              <w:t xml:space="preserve">   </w:t>
            </w:r>
          </w:p>
        </w:tc>
        <w:tc>
          <w:tcPr>
            <w:tcW w:w="4536" w:type="dxa"/>
          </w:tcPr>
          <w:p w:rsidR="0043370C" w:rsidRPr="00CA0D01" w:rsidRDefault="0043370C" w:rsidP="00E01CB5">
            <w:pPr>
              <w:rPr>
                <w:rFonts w:cs="David"/>
                <w:b/>
                <w:bCs w:val="0"/>
                <w:sz w:val="24"/>
                <w:szCs w:val="24"/>
                <w:rtl/>
              </w:rPr>
            </w:pPr>
            <w:r>
              <w:rPr>
                <w:rFonts w:cs="David" w:hint="cs"/>
                <w:b/>
                <w:bCs w:val="0"/>
                <w:sz w:val="24"/>
                <w:szCs w:val="24"/>
                <w:rtl/>
              </w:rPr>
              <w:t xml:space="preserve">לא. יחד עם זאת, מדיניות המשרד הינה שלא לעכב את העברת התמורה הכספית לספק ובלבד שהספק מילא אחר כל הדרישות הקבועות במכרז ובהסכם. </w:t>
            </w:r>
          </w:p>
        </w:tc>
      </w:tr>
      <w:tr w:rsidR="0043370C" w:rsidRPr="00CA0D01" w:rsidTr="00E01CB5">
        <w:tc>
          <w:tcPr>
            <w:tcW w:w="850" w:type="dxa"/>
          </w:tcPr>
          <w:p w:rsidR="0043370C" w:rsidRPr="00CA0D01" w:rsidRDefault="0043370C" w:rsidP="00E01CB5">
            <w:pPr>
              <w:rPr>
                <w:rFonts w:cs="David"/>
                <w:b/>
                <w:bCs w:val="0"/>
                <w:sz w:val="24"/>
                <w:szCs w:val="24"/>
                <w:rtl/>
              </w:rPr>
            </w:pPr>
            <w:r>
              <w:rPr>
                <w:rFonts w:cs="David" w:hint="cs"/>
                <w:b/>
                <w:bCs w:val="0"/>
                <w:sz w:val="24"/>
                <w:szCs w:val="24"/>
                <w:rtl/>
              </w:rPr>
              <w:t>7.</w:t>
            </w:r>
          </w:p>
        </w:tc>
        <w:tc>
          <w:tcPr>
            <w:tcW w:w="1559" w:type="dxa"/>
          </w:tcPr>
          <w:p w:rsidR="0043370C" w:rsidRPr="00CA0D01" w:rsidRDefault="0043370C" w:rsidP="00E01CB5">
            <w:pPr>
              <w:rPr>
                <w:rFonts w:cs="David"/>
                <w:b/>
                <w:bCs w:val="0"/>
                <w:sz w:val="24"/>
                <w:szCs w:val="24"/>
                <w:rtl/>
              </w:rPr>
            </w:pPr>
            <w:r>
              <w:rPr>
                <w:rFonts w:cs="David" w:hint="cs"/>
                <w:b/>
                <w:bCs w:val="0"/>
                <w:sz w:val="24"/>
                <w:szCs w:val="24"/>
                <w:rtl/>
              </w:rPr>
              <w:t xml:space="preserve">סעיף </w:t>
            </w:r>
            <w:r w:rsidRPr="00DF4A38">
              <w:rPr>
                <w:rFonts w:cs="David" w:hint="cs"/>
                <w:b/>
                <w:bCs w:val="0"/>
                <w:sz w:val="24"/>
                <w:szCs w:val="24"/>
                <w:rtl/>
              </w:rPr>
              <w:t>10.3</w:t>
            </w:r>
            <w:r>
              <w:rPr>
                <w:rFonts w:cs="David" w:hint="cs"/>
                <w:b/>
                <w:bCs w:val="0"/>
                <w:sz w:val="24"/>
                <w:szCs w:val="24"/>
                <w:rtl/>
              </w:rPr>
              <w:t xml:space="preserve"> למכרז</w:t>
            </w:r>
          </w:p>
        </w:tc>
        <w:tc>
          <w:tcPr>
            <w:tcW w:w="3261" w:type="dxa"/>
          </w:tcPr>
          <w:p w:rsidR="0043370C" w:rsidRPr="00CA0D01" w:rsidRDefault="0043370C" w:rsidP="00E01CB5">
            <w:pPr>
              <w:rPr>
                <w:rFonts w:cs="David"/>
                <w:b/>
                <w:bCs w:val="0"/>
                <w:sz w:val="24"/>
                <w:szCs w:val="24"/>
                <w:rtl/>
              </w:rPr>
            </w:pPr>
            <w:r w:rsidRPr="00DF4A38">
              <w:rPr>
                <w:rFonts w:cs="David" w:hint="cs"/>
                <w:b/>
                <w:bCs w:val="0"/>
                <w:sz w:val="24"/>
                <w:szCs w:val="24"/>
                <w:rtl/>
              </w:rPr>
              <w:t xml:space="preserve">אישיות משפטית </w:t>
            </w:r>
            <w:r w:rsidRPr="00DF4A38">
              <w:rPr>
                <w:rFonts w:cs="David"/>
                <w:b/>
                <w:bCs w:val="0"/>
                <w:sz w:val="24"/>
                <w:szCs w:val="24"/>
                <w:rtl/>
              </w:rPr>
              <w:t>–</w:t>
            </w:r>
            <w:r w:rsidRPr="00DF4A38">
              <w:rPr>
                <w:rFonts w:cs="David" w:hint="cs"/>
                <w:b/>
                <w:bCs w:val="0"/>
                <w:sz w:val="24"/>
                <w:szCs w:val="24"/>
                <w:rtl/>
              </w:rPr>
              <w:t xml:space="preserve"> האם אפשר לעבוד תחת אישיות משפטית אחת של המציע וההתחשבנות בין המציע למבצע תהא באמצעות חשבוניות ביניהם ולא עם תלוש משכורת.</w:t>
            </w:r>
          </w:p>
        </w:tc>
        <w:tc>
          <w:tcPr>
            <w:tcW w:w="4536" w:type="dxa"/>
          </w:tcPr>
          <w:p w:rsidR="0043370C" w:rsidRPr="00CA0D01" w:rsidRDefault="0043370C" w:rsidP="00E01CB5">
            <w:pPr>
              <w:rPr>
                <w:rFonts w:cs="David"/>
                <w:b/>
                <w:bCs w:val="0"/>
                <w:sz w:val="24"/>
                <w:szCs w:val="24"/>
                <w:rtl/>
              </w:rPr>
            </w:pPr>
            <w:r>
              <w:rPr>
                <w:rFonts w:cs="David" w:hint="cs"/>
                <w:b/>
                <w:bCs w:val="0"/>
                <w:sz w:val="24"/>
                <w:szCs w:val="24"/>
                <w:rtl/>
              </w:rPr>
              <w:t>בהתאם לדרישת סעיף 10.3 על המציע והמבצע להיות מאוגדים במשרד אחד ובמסגרת אותה אישיות משפטית.</w:t>
            </w:r>
          </w:p>
        </w:tc>
      </w:tr>
      <w:tr w:rsidR="0043370C" w:rsidRPr="00CA0D01" w:rsidTr="00E01CB5">
        <w:tc>
          <w:tcPr>
            <w:tcW w:w="850" w:type="dxa"/>
          </w:tcPr>
          <w:p w:rsidR="0043370C" w:rsidRPr="00CA0D01" w:rsidRDefault="0043370C" w:rsidP="00E01CB5">
            <w:pPr>
              <w:rPr>
                <w:rFonts w:cs="David"/>
                <w:b/>
                <w:bCs w:val="0"/>
                <w:sz w:val="24"/>
                <w:szCs w:val="24"/>
                <w:rtl/>
              </w:rPr>
            </w:pPr>
            <w:r>
              <w:rPr>
                <w:rFonts w:cs="David" w:hint="cs"/>
                <w:b/>
                <w:bCs w:val="0"/>
                <w:sz w:val="24"/>
                <w:szCs w:val="24"/>
                <w:rtl/>
              </w:rPr>
              <w:t>8.</w:t>
            </w:r>
          </w:p>
        </w:tc>
        <w:tc>
          <w:tcPr>
            <w:tcW w:w="1559" w:type="dxa"/>
          </w:tcPr>
          <w:p w:rsidR="0043370C" w:rsidRPr="00CA0D01" w:rsidRDefault="0043370C" w:rsidP="00E01CB5">
            <w:pPr>
              <w:rPr>
                <w:rFonts w:cs="David"/>
                <w:b/>
                <w:bCs w:val="0"/>
                <w:sz w:val="24"/>
                <w:szCs w:val="24"/>
                <w:rtl/>
              </w:rPr>
            </w:pPr>
            <w:r w:rsidRPr="00AB3FA0">
              <w:rPr>
                <w:rFonts w:cs="David"/>
                <w:b/>
                <w:bCs w:val="0"/>
                <w:sz w:val="24"/>
                <w:szCs w:val="24"/>
                <w:rtl/>
              </w:rPr>
              <w:t>סעיף 10.3 למכרז</w:t>
            </w:r>
          </w:p>
        </w:tc>
        <w:tc>
          <w:tcPr>
            <w:tcW w:w="3261" w:type="dxa"/>
          </w:tcPr>
          <w:p w:rsidR="0043370C" w:rsidRPr="00CA0D01" w:rsidRDefault="0043370C" w:rsidP="00E01CB5">
            <w:pPr>
              <w:rPr>
                <w:rFonts w:cs="David"/>
                <w:b/>
                <w:bCs w:val="0"/>
                <w:sz w:val="24"/>
                <w:szCs w:val="24"/>
                <w:rtl/>
              </w:rPr>
            </w:pPr>
            <w:r w:rsidRPr="00DF4A38">
              <w:rPr>
                <w:rFonts w:cs="David" w:hint="cs"/>
                <w:b/>
                <w:bCs w:val="0"/>
                <w:sz w:val="24"/>
                <w:szCs w:val="24"/>
                <w:rtl/>
              </w:rPr>
              <w:t>האם ניתן להגיש הצעה המשותפת לשני עורכי דין העובדים באותו משרד ויש ביניהם שותפות בפעילות, אך כל אחד פועל תחת עוסק מורשה שונה (לכל אחד מעורכי הדין עוסק מורשה שלו)?</w:t>
            </w:r>
          </w:p>
        </w:tc>
        <w:tc>
          <w:tcPr>
            <w:tcW w:w="4536" w:type="dxa"/>
          </w:tcPr>
          <w:p w:rsidR="0043370C" w:rsidRDefault="0043370C" w:rsidP="00E01CB5">
            <w:pPr>
              <w:rPr>
                <w:rFonts w:cs="David"/>
                <w:b/>
                <w:bCs w:val="0"/>
                <w:sz w:val="24"/>
                <w:szCs w:val="24"/>
                <w:rtl/>
              </w:rPr>
            </w:pPr>
            <w:r>
              <w:rPr>
                <w:rFonts w:cs="David" w:hint="cs"/>
                <w:b/>
                <w:bCs w:val="0"/>
                <w:sz w:val="24"/>
                <w:szCs w:val="24"/>
                <w:rtl/>
              </w:rPr>
              <w:t>דרישת סעיף 10.3 למסכי המכרז, היא שהמציע והמבצע יהיו מאוגדים במסגרת אותה אישיות משפטית. משכך, במקרה המתואר ניתן לפעול באחת משתי דרכים:</w:t>
            </w:r>
          </w:p>
          <w:p w:rsidR="0043370C" w:rsidRDefault="0043370C" w:rsidP="00E01CB5">
            <w:pPr>
              <w:rPr>
                <w:rFonts w:cs="David"/>
                <w:b/>
                <w:bCs w:val="0"/>
                <w:sz w:val="24"/>
                <w:szCs w:val="24"/>
                <w:rtl/>
              </w:rPr>
            </w:pPr>
            <w:r w:rsidRPr="007648CC">
              <w:rPr>
                <w:rFonts w:cs="David" w:hint="cs"/>
                <w:sz w:val="24"/>
                <w:szCs w:val="24"/>
                <w:rtl/>
              </w:rPr>
              <w:t>א.</w:t>
            </w:r>
            <w:r>
              <w:rPr>
                <w:rFonts w:cs="David" w:hint="cs"/>
                <w:b/>
                <w:bCs w:val="0"/>
                <w:sz w:val="24"/>
                <w:szCs w:val="24"/>
                <w:rtl/>
              </w:rPr>
              <w:t xml:space="preserve"> שותפות רשומה, כדרישת סעיף 10.1.1.</w:t>
            </w:r>
          </w:p>
          <w:p w:rsidR="0043370C" w:rsidRPr="00CA0D01" w:rsidRDefault="0043370C" w:rsidP="00E01CB5">
            <w:pPr>
              <w:rPr>
                <w:rFonts w:cs="David"/>
                <w:b/>
                <w:bCs w:val="0"/>
                <w:sz w:val="24"/>
                <w:szCs w:val="24"/>
                <w:rtl/>
              </w:rPr>
            </w:pPr>
            <w:r w:rsidRPr="007648CC">
              <w:rPr>
                <w:rFonts w:cs="David" w:hint="cs"/>
                <w:sz w:val="24"/>
                <w:szCs w:val="24"/>
                <w:rtl/>
              </w:rPr>
              <w:t>ב.</w:t>
            </w:r>
            <w:r>
              <w:rPr>
                <w:rFonts w:cs="David" w:hint="cs"/>
                <w:b/>
                <w:bCs w:val="0"/>
                <w:sz w:val="24"/>
                <w:szCs w:val="24"/>
                <w:rtl/>
              </w:rPr>
              <w:t xml:space="preserve"> המבצע יהיה עובד שכיר אצל המציע.</w:t>
            </w:r>
          </w:p>
        </w:tc>
      </w:tr>
      <w:tr w:rsidR="0043370C" w:rsidRPr="00CA0D01" w:rsidTr="00E01CB5">
        <w:tc>
          <w:tcPr>
            <w:tcW w:w="850" w:type="dxa"/>
          </w:tcPr>
          <w:p w:rsidR="0043370C" w:rsidRPr="00CA0D01" w:rsidRDefault="0043370C" w:rsidP="00E01CB5">
            <w:pPr>
              <w:rPr>
                <w:rFonts w:cs="David"/>
                <w:b/>
                <w:bCs w:val="0"/>
                <w:sz w:val="24"/>
                <w:szCs w:val="24"/>
                <w:rtl/>
              </w:rPr>
            </w:pPr>
            <w:r>
              <w:rPr>
                <w:rFonts w:cs="David" w:hint="cs"/>
                <w:b/>
                <w:bCs w:val="0"/>
                <w:sz w:val="24"/>
                <w:szCs w:val="24"/>
                <w:rtl/>
              </w:rPr>
              <w:t>9.</w:t>
            </w:r>
          </w:p>
        </w:tc>
        <w:tc>
          <w:tcPr>
            <w:tcW w:w="1559" w:type="dxa"/>
          </w:tcPr>
          <w:p w:rsidR="0043370C" w:rsidRPr="00CA0D01" w:rsidRDefault="0043370C" w:rsidP="00E01CB5">
            <w:pPr>
              <w:rPr>
                <w:rFonts w:cs="David"/>
                <w:b/>
                <w:bCs w:val="0"/>
                <w:sz w:val="24"/>
                <w:szCs w:val="24"/>
                <w:rtl/>
              </w:rPr>
            </w:pPr>
            <w:r>
              <w:rPr>
                <w:rFonts w:cs="David" w:hint="cs"/>
                <w:b/>
                <w:bCs w:val="0"/>
                <w:sz w:val="24"/>
                <w:szCs w:val="24"/>
                <w:rtl/>
              </w:rPr>
              <w:t xml:space="preserve">סעיף 13.1.1 למכרז </w:t>
            </w:r>
          </w:p>
        </w:tc>
        <w:tc>
          <w:tcPr>
            <w:tcW w:w="3261" w:type="dxa"/>
          </w:tcPr>
          <w:p w:rsidR="0043370C" w:rsidRPr="00DF4A38" w:rsidRDefault="0043370C" w:rsidP="00E01CB5">
            <w:pPr>
              <w:rPr>
                <w:rFonts w:cs="David"/>
                <w:b/>
                <w:bCs w:val="0"/>
                <w:sz w:val="24"/>
                <w:szCs w:val="24"/>
              </w:rPr>
            </w:pPr>
            <w:r w:rsidRPr="00DF4A38">
              <w:rPr>
                <w:rFonts w:cs="David"/>
                <w:b/>
                <w:bCs w:val="0"/>
                <w:sz w:val="24"/>
                <w:szCs w:val="24"/>
                <w:rtl/>
              </w:rPr>
              <w:t>בשנה האחרונה נתן המציע י</w:t>
            </w:r>
            <w:r>
              <w:rPr>
                <w:rFonts w:cs="David" w:hint="cs"/>
                <w:b/>
                <w:bCs w:val="0"/>
                <w:sz w:val="24"/>
                <w:szCs w:val="24"/>
                <w:rtl/>
              </w:rPr>
              <w:t>י</w:t>
            </w:r>
            <w:r w:rsidRPr="00DF4A38">
              <w:rPr>
                <w:rFonts w:cs="David"/>
                <w:b/>
                <w:bCs w:val="0"/>
                <w:sz w:val="24"/>
                <w:szCs w:val="24"/>
                <w:rtl/>
              </w:rPr>
              <w:t>עוץ ללקוח שהגיע אליו עקב חקירה בגין ביקורת שנערכה לו בבית העסק שעניינה העסקת עובד זר. כן הוגשה על ידי המציע בקשר להליך זה בקשה טכנית לסגירת תיק החקירה. מעבר לפעולה זו לא ביצע המציע כל פניה או טיפול מול רשות האוכלוסין וההגירה.</w:t>
            </w:r>
          </w:p>
          <w:p w:rsidR="0043370C" w:rsidRPr="00DF4A38" w:rsidRDefault="0043370C" w:rsidP="00E01CB5">
            <w:pPr>
              <w:rPr>
                <w:rFonts w:cs="David"/>
                <w:b/>
                <w:bCs w:val="0"/>
                <w:sz w:val="24"/>
                <w:szCs w:val="24"/>
                <w:rtl/>
              </w:rPr>
            </w:pPr>
            <w:r w:rsidRPr="00DF4A38">
              <w:rPr>
                <w:rFonts w:cs="David"/>
                <w:b/>
                <w:bCs w:val="0"/>
                <w:sz w:val="24"/>
                <w:szCs w:val="24"/>
                <w:rtl/>
              </w:rPr>
              <w:t>סעיף 13.1.1 למכרז קובע כי: "המציע, קרוביו.... אינם מעניקים ולא העניקו במהלך השנה שקדמה למועד הגשת ההצעה שירותים... לרבות ייעוץ וייצוג משפטי בניהול הליכים פליליים בגין עבירות על חוק עובדים זרים...".</w:t>
            </w:r>
          </w:p>
          <w:p w:rsidR="0043370C" w:rsidRPr="00DF4A38" w:rsidRDefault="0043370C" w:rsidP="00E01CB5">
            <w:pPr>
              <w:rPr>
                <w:rFonts w:cs="David"/>
                <w:b/>
                <w:bCs w:val="0"/>
                <w:sz w:val="24"/>
                <w:szCs w:val="24"/>
              </w:rPr>
            </w:pPr>
            <w:r w:rsidRPr="00DF4A38">
              <w:rPr>
                <w:rFonts w:cs="David"/>
                <w:b/>
                <w:bCs w:val="0"/>
                <w:sz w:val="24"/>
                <w:szCs w:val="24"/>
                <w:rtl/>
              </w:rPr>
              <w:t>מכאן שעסקינן במי שכבר נחקר, ולמעשה מעבר למשלוח מכתב בשמו שעניינו סגירת תיק החקירה, לא בוצעה בפועל כל פעולה על ידי המציע בתיק.  אשר על כן, נודה על הבהרתכם כי אין כל מניעה למציע במקרה דנן מלגשת למכרז שבכותרת.</w:t>
            </w:r>
          </w:p>
          <w:p w:rsidR="0043370C" w:rsidRPr="00973D16" w:rsidRDefault="0043370C" w:rsidP="00E01CB5">
            <w:pPr>
              <w:rPr>
                <w:rFonts w:cs="David"/>
                <w:b/>
                <w:bCs w:val="0"/>
                <w:sz w:val="24"/>
                <w:szCs w:val="24"/>
                <w:rtl/>
              </w:rPr>
            </w:pPr>
          </w:p>
        </w:tc>
        <w:tc>
          <w:tcPr>
            <w:tcW w:w="4536" w:type="dxa"/>
          </w:tcPr>
          <w:p w:rsidR="0043370C" w:rsidRPr="00757390" w:rsidRDefault="0043370C" w:rsidP="00E01CB5">
            <w:pPr>
              <w:rPr>
                <w:rFonts w:cs="David"/>
                <w:b/>
                <w:bCs w:val="0"/>
                <w:sz w:val="24"/>
                <w:szCs w:val="24"/>
                <w:rtl/>
              </w:rPr>
            </w:pPr>
            <w:r>
              <w:rPr>
                <w:rFonts w:cs="David" w:hint="cs"/>
                <w:b/>
                <w:bCs w:val="0"/>
                <w:sz w:val="24"/>
                <w:szCs w:val="24"/>
                <w:rtl/>
              </w:rPr>
              <w:t xml:space="preserve">בנספח 4א' לטופס ההצעה, שעניינו "תצהיר בדבר היעדר ניגוד עניינים-מבצע", מוצהר כי: </w:t>
            </w:r>
            <w:r>
              <w:rPr>
                <w:rFonts w:cs="David" w:hint="cs"/>
                <w:sz w:val="24"/>
                <w:szCs w:val="24"/>
                <w:rtl/>
              </w:rPr>
              <w:t>"לא ניהלתי במשך השנה האחרונה הקודמת למועד פרסום מכרז זה הליכים כנגד המדינה בתחום העובדים הזרים"</w:t>
            </w:r>
            <w:r>
              <w:rPr>
                <w:rFonts w:cs="David" w:hint="cs"/>
                <w:b/>
                <w:bCs w:val="0"/>
                <w:sz w:val="24"/>
                <w:szCs w:val="24"/>
                <w:rtl/>
              </w:rPr>
              <w:t xml:space="preserve">. </w:t>
            </w:r>
            <w:r>
              <w:rPr>
                <w:rFonts w:cs="David"/>
                <w:b/>
                <w:bCs w:val="0"/>
                <w:sz w:val="24"/>
                <w:szCs w:val="24"/>
                <w:rtl/>
              </w:rPr>
              <w:br/>
            </w:r>
            <w:r>
              <w:rPr>
                <w:rFonts w:cs="David" w:hint="cs"/>
                <w:b/>
                <w:bCs w:val="0"/>
                <w:sz w:val="24"/>
                <w:szCs w:val="24"/>
                <w:rtl/>
              </w:rPr>
              <w:t>"הליכים"- מנהליים ו/או פליליים.</w:t>
            </w:r>
            <w:r>
              <w:rPr>
                <w:rFonts w:cs="David" w:hint="cs"/>
                <w:b/>
                <w:bCs w:val="0"/>
                <w:sz w:val="24"/>
                <w:szCs w:val="24"/>
                <w:rtl/>
              </w:rPr>
              <w:br/>
            </w:r>
          </w:p>
        </w:tc>
      </w:tr>
      <w:tr w:rsidR="0043370C" w:rsidRPr="00CA0D01" w:rsidTr="00E01CB5">
        <w:tc>
          <w:tcPr>
            <w:tcW w:w="850" w:type="dxa"/>
          </w:tcPr>
          <w:p w:rsidR="0043370C" w:rsidRPr="00CA0D01" w:rsidRDefault="0043370C" w:rsidP="00E01CB5">
            <w:pPr>
              <w:rPr>
                <w:rFonts w:cs="David"/>
                <w:b/>
                <w:bCs w:val="0"/>
                <w:sz w:val="24"/>
                <w:szCs w:val="24"/>
                <w:rtl/>
              </w:rPr>
            </w:pPr>
            <w:r>
              <w:rPr>
                <w:rFonts w:cs="David" w:hint="cs"/>
                <w:b/>
                <w:bCs w:val="0"/>
                <w:sz w:val="24"/>
                <w:szCs w:val="24"/>
                <w:rtl/>
              </w:rPr>
              <w:t>10.</w:t>
            </w:r>
          </w:p>
        </w:tc>
        <w:tc>
          <w:tcPr>
            <w:tcW w:w="1559" w:type="dxa"/>
          </w:tcPr>
          <w:p w:rsidR="0043370C" w:rsidRPr="00CA0D01" w:rsidRDefault="0043370C" w:rsidP="00E01CB5">
            <w:pPr>
              <w:rPr>
                <w:rFonts w:cs="David"/>
                <w:b/>
                <w:bCs w:val="0"/>
                <w:sz w:val="24"/>
                <w:szCs w:val="24"/>
                <w:rtl/>
              </w:rPr>
            </w:pPr>
            <w:r>
              <w:rPr>
                <w:rFonts w:cs="David" w:hint="cs"/>
                <w:b/>
                <w:bCs w:val="0"/>
                <w:sz w:val="24"/>
                <w:szCs w:val="24"/>
                <w:rtl/>
              </w:rPr>
              <w:t xml:space="preserve">סעיף 16 למכרז </w:t>
            </w:r>
          </w:p>
        </w:tc>
        <w:tc>
          <w:tcPr>
            <w:tcW w:w="3261" w:type="dxa"/>
          </w:tcPr>
          <w:p w:rsidR="0043370C" w:rsidRPr="00DF4A38" w:rsidRDefault="0043370C" w:rsidP="00E01CB5">
            <w:pPr>
              <w:rPr>
                <w:rFonts w:cs="David"/>
                <w:b/>
                <w:bCs w:val="0"/>
                <w:sz w:val="24"/>
                <w:szCs w:val="24"/>
                <w:rtl/>
              </w:rPr>
            </w:pPr>
            <w:r w:rsidRPr="00DF4A38">
              <w:rPr>
                <w:rFonts w:cs="David"/>
                <w:b/>
                <w:bCs w:val="0"/>
                <w:sz w:val="24"/>
                <w:szCs w:val="24"/>
                <w:rtl/>
              </w:rPr>
              <w:t>איך משולם סך של 750 ש''ח</w:t>
            </w:r>
            <w:r>
              <w:rPr>
                <w:rFonts w:cs="David" w:hint="cs"/>
                <w:b/>
                <w:bCs w:val="0"/>
                <w:sz w:val="24"/>
                <w:szCs w:val="24"/>
                <w:rtl/>
              </w:rPr>
              <w:t>?</w:t>
            </w:r>
          </w:p>
        </w:tc>
        <w:tc>
          <w:tcPr>
            <w:tcW w:w="4536" w:type="dxa"/>
          </w:tcPr>
          <w:p w:rsidR="0043370C" w:rsidRPr="00CA0D01" w:rsidRDefault="0043370C" w:rsidP="00E01CB5">
            <w:pPr>
              <w:rPr>
                <w:rFonts w:cs="David"/>
                <w:b/>
                <w:bCs w:val="0"/>
                <w:sz w:val="24"/>
                <w:szCs w:val="24"/>
                <w:rtl/>
              </w:rPr>
            </w:pPr>
            <w:r>
              <w:rPr>
                <w:rFonts w:cs="David" w:hint="cs"/>
                <w:b/>
                <w:bCs w:val="0"/>
                <w:sz w:val="24"/>
                <w:szCs w:val="24"/>
                <w:rtl/>
              </w:rPr>
              <w:t xml:space="preserve">בהתאם לסעיף 16 למסמכי המכרז, יש לגשת לבנק הדואר, שם יש לקבל שובר תשלום  שיש לשלמו </w:t>
            </w:r>
            <w:r>
              <w:rPr>
                <w:rFonts w:cs="David"/>
                <w:b/>
                <w:bCs w:val="0"/>
                <w:sz w:val="24"/>
                <w:szCs w:val="24"/>
                <w:rtl/>
              </w:rPr>
              <w:t>לחשבון משרד</w:t>
            </w:r>
            <w:r w:rsidRPr="00701B65">
              <w:rPr>
                <w:rFonts w:cs="David"/>
                <w:b/>
                <w:bCs w:val="0"/>
                <w:sz w:val="24"/>
                <w:szCs w:val="24"/>
                <w:rtl/>
              </w:rPr>
              <w:t xml:space="preserve"> הפנים, רשות האוכלוסין וההגירה בנק הדואר (09)  סניף ראשי  (001) מס' חשבון  26860.</w:t>
            </w:r>
          </w:p>
        </w:tc>
      </w:tr>
      <w:tr w:rsidR="0043370C" w:rsidRPr="00CA0D01" w:rsidTr="00E01CB5">
        <w:tc>
          <w:tcPr>
            <w:tcW w:w="850" w:type="dxa"/>
          </w:tcPr>
          <w:p w:rsidR="0043370C" w:rsidRPr="00CA0D01" w:rsidRDefault="0043370C" w:rsidP="00E01CB5">
            <w:pPr>
              <w:rPr>
                <w:rFonts w:cs="David"/>
                <w:b/>
                <w:bCs w:val="0"/>
                <w:sz w:val="24"/>
                <w:szCs w:val="24"/>
                <w:rtl/>
              </w:rPr>
            </w:pPr>
            <w:r>
              <w:rPr>
                <w:rFonts w:cs="David" w:hint="cs"/>
                <w:b/>
                <w:bCs w:val="0"/>
                <w:sz w:val="24"/>
                <w:szCs w:val="24"/>
                <w:rtl/>
              </w:rPr>
              <w:t>11.</w:t>
            </w:r>
          </w:p>
        </w:tc>
        <w:tc>
          <w:tcPr>
            <w:tcW w:w="1559" w:type="dxa"/>
          </w:tcPr>
          <w:p w:rsidR="0043370C" w:rsidRPr="00CA0D01" w:rsidRDefault="0043370C" w:rsidP="00E01CB5">
            <w:pPr>
              <w:rPr>
                <w:rFonts w:cs="David"/>
                <w:b/>
                <w:bCs w:val="0"/>
                <w:sz w:val="24"/>
                <w:szCs w:val="24"/>
                <w:rtl/>
              </w:rPr>
            </w:pPr>
            <w:r>
              <w:rPr>
                <w:rFonts w:cs="David" w:hint="cs"/>
                <w:b/>
                <w:bCs w:val="0"/>
                <w:sz w:val="24"/>
                <w:szCs w:val="24"/>
                <w:rtl/>
              </w:rPr>
              <w:t>סעיף 11.1.3 ו- 12.1.12 למכרז</w:t>
            </w:r>
          </w:p>
        </w:tc>
        <w:tc>
          <w:tcPr>
            <w:tcW w:w="3261" w:type="dxa"/>
          </w:tcPr>
          <w:p w:rsidR="0043370C" w:rsidRPr="00DF4A38" w:rsidRDefault="0043370C" w:rsidP="00E01CB5">
            <w:pPr>
              <w:rPr>
                <w:rFonts w:cs="David"/>
                <w:b/>
                <w:bCs w:val="0"/>
                <w:sz w:val="24"/>
                <w:szCs w:val="24"/>
              </w:rPr>
            </w:pPr>
            <w:r w:rsidRPr="00DF4A38">
              <w:rPr>
                <w:rFonts w:cs="David"/>
                <w:b/>
                <w:bCs w:val="0"/>
                <w:sz w:val="24"/>
                <w:szCs w:val="24"/>
                <w:rtl/>
              </w:rPr>
              <w:t>האם נ</w:t>
            </w:r>
            <w:r>
              <w:rPr>
                <w:rFonts w:cs="David" w:hint="cs"/>
                <w:b/>
                <w:bCs w:val="0"/>
                <w:sz w:val="24"/>
                <w:szCs w:val="24"/>
                <w:rtl/>
              </w:rPr>
              <w:t>י</w:t>
            </w:r>
            <w:r w:rsidRPr="00DF4A38">
              <w:rPr>
                <w:rFonts w:cs="David"/>
                <w:b/>
                <w:bCs w:val="0"/>
                <w:sz w:val="24"/>
                <w:szCs w:val="24"/>
                <w:rtl/>
              </w:rPr>
              <w:t>סיון בתחום המשפט הפלילי בעניינים כגון ייצוג נאשמים שהוגשו כנגדם כתבי אישום בנושאי חוק התכנון והבניה וייצוג לקוחות שהוגשו כנגדם</w:t>
            </w:r>
            <w:r>
              <w:rPr>
                <w:rFonts w:cs="David"/>
                <w:b/>
                <w:bCs w:val="0"/>
                <w:sz w:val="24"/>
                <w:szCs w:val="24"/>
                <w:rtl/>
              </w:rPr>
              <w:t xml:space="preserve"> כתבי אישום בנושאי תעבורה מספק</w:t>
            </w:r>
            <w:r w:rsidRPr="00DF4A38">
              <w:rPr>
                <w:rFonts w:cs="David"/>
                <w:b/>
                <w:bCs w:val="0"/>
                <w:sz w:val="24"/>
                <w:szCs w:val="24"/>
                <w:rtl/>
              </w:rPr>
              <w:t xml:space="preserve"> לצורך הגשת הצעה?</w:t>
            </w:r>
          </w:p>
          <w:p w:rsidR="0043370C" w:rsidRPr="00DF4A38" w:rsidRDefault="0043370C" w:rsidP="00E01CB5">
            <w:pPr>
              <w:rPr>
                <w:rFonts w:cs="David"/>
                <w:b/>
                <w:bCs w:val="0"/>
                <w:sz w:val="24"/>
                <w:szCs w:val="24"/>
                <w:rtl/>
              </w:rPr>
            </w:pPr>
          </w:p>
        </w:tc>
        <w:tc>
          <w:tcPr>
            <w:tcW w:w="4536" w:type="dxa"/>
          </w:tcPr>
          <w:p w:rsidR="0043370C" w:rsidRPr="00CA0D01" w:rsidRDefault="0043370C" w:rsidP="00E01CB5">
            <w:pPr>
              <w:rPr>
                <w:rFonts w:cs="David"/>
                <w:b/>
                <w:bCs w:val="0"/>
                <w:sz w:val="24"/>
                <w:szCs w:val="24"/>
                <w:rtl/>
              </w:rPr>
            </w:pPr>
            <w:r>
              <w:rPr>
                <w:rFonts w:cs="David" w:hint="cs"/>
                <w:b/>
                <w:bCs w:val="0"/>
                <w:sz w:val="24"/>
                <w:szCs w:val="24"/>
                <w:rtl/>
              </w:rPr>
              <w:t>בהתאם לסעיפים 11.1.3 ו- 12.1.12 על המציע/ המבצע להיות בעל ניסיון מוכח של שלוש שנים לפחות במהלך חמש השנים האחרונות שקדמו למועד האחרון להגשת הצעות למכרז זה בעבודה כעורך דין בתחום המשפט הפלילי ובליטיגציה בתחום זה.</w:t>
            </w:r>
            <w:r>
              <w:rPr>
                <w:rFonts w:cs="David"/>
                <w:b/>
                <w:bCs w:val="0"/>
                <w:sz w:val="24"/>
                <w:szCs w:val="24"/>
                <w:rtl/>
              </w:rPr>
              <w:br/>
            </w:r>
            <w:r>
              <w:rPr>
                <w:rFonts w:cs="David" w:hint="cs"/>
                <w:b/>
                <w:bCs w:val="0"/>
                <w:sz w:val="24"/>
                <w:szCs w:val="24"/>
                <w:rtl/>
              </w:rPr>
              <w:t>לעניין זה, כל תחומי המשפט הפלילי רלבנטיים ובלבד שמתקיים תנאי הזמן הקבוע בסעיפים הנ"ל.</w:t>
            </w:r>
          </w:p>
        </w:tc>
      </w:tr>
      <w:tr w:rsidR="0043370C" w:rsidRPr="00CA0D01" w:rsidTr="00E01CB5">
        <w:tc>
          <w:tcPr>
            <w:tcW w:w="850" w:type="dxa"/>
          </w:tcPr>
          <w:p w:rsidR="0043370C" w:rsidRPr="00CA0D01" w:rsidRDefault="0043370C" w:rsidP="00E01CB5">
            <w:pPr>
              <w:rPr>
                <w:rFonts w:cs="David"/>
                <w:b/>
                <w:bCs w:val="0"/>
                <w:sz w:val="24"/>
                <w:szCs w:val="24"/>
                <w:rtl/>
              </w:rPr>
            </w:pPr>
            <w:r>
              <w:rPr>
                <w:rFonts w:cs="David" w:hint="cs"/>
                <w:b/>
                <w:bCs w:val="0"/>
                <w:sz w:val="24"/>
                <w:szCs w:val="24"/>
                <w:rtl/>
              </w:rPr>
              <w:t>12.</w:t>
            </w:r>
          </w:p>
        </w:tc>
        <w:tc>
          <w:tcPr>
            <w:tcW w:w="1559" w:type="dxa"/>
          </w:tcPr>
          <w:p w:rsidR="0043370C" w:rsidRPr="00CA0D01" w:rsidRDefault="0043370C" w:rsidP="00E01CB5">
            <w:pPr>
              <w:rPr>
                <w:rFonts w:cs="David"/>
                <w:b/>
                <w:bCs w:val="0"/>
                <w:sz w:val="24"/>
                <w:szCs w:val="24"/>
                <w:rtl/>
              </w:rPr>
            </w:pPr>
            <w:r w:rsidRPr="007648CC">
              <w:rPr>
                <w:rFonts w:cs="David"/>
                <w:b/>
                <w:bCs w:val="0"/>
                <w:sz w:val="24"/>
                <w:szCs w:val="24"/>
                <w:rtl/>
              </w:rPr>
              <w:t>סעיף 11.1.3 ו- 12.1.12 למכרז</w:t>
            </w:r>
          </w:p>
        </w:tc>
        <w:tc>
          <w:tcPr>
            <w:tcW w:w="3261" w:type="dxa"/>
          </w:tcPr>
          <w:p w:rsidR="0043370C" w:rsidRPr="00DF4A38" w:rsidRDefault="0043370C" w:rsidP="00E01CB5">
            <w:pPr>
              <w:pStyle w:val="NormalWeb"/>
              <w:rPr>
                <w:rFonts w:eastAsia="Times New Roman" w:cs="David"/>
                <w:b/>
                <w:color w:val="000000"/>
                <w:rtl/>
                <w:lang w:eastAsia="he-IL"/>
              </w:rPr>
            </w:pPr>
            <w:r w:rsidRPr="00DF4A38">
              <w:rPr>
                <w:rFonts w:eastAsia="Times New Roman" w:cs="David" w:hint="cs"/>
                <w:b/>
                <w:color w:val="000000"/>
                <w:rtl/>
                <w:lang w:eastAsia="he-IL"/>
              </w:rPr>
              <w:t>ברצוני לדעת האם תקופת התמחות בפרקליטות מחוז פלילית יכולה להיחשב לוותק לצורך עמידה בתנאי סף של המכרז?</w:t>
            </w:r>
            <w:r>
              <w:rPr>
                <w:rFonts w:eastAsia="Times New Roman" w:cs="David" w:hint="cs"/>
                <w:b/>
                <w:color w:val="000000"/>
                <w:rtl/>
                <w:lang w:eastAsia="he-IL"/>
              </w:rPr>
              <w:t xml:space="preserve"> </w:t>
            </w:r>
            <w:r w:rsidRPr="00DF4A38">
              <w:rPr>
                <w:rFonts w:eastAsia="Times New Roman" w:cs="David" w:hint="cs"/>
                <w:b/>
                <w:color w:val="000000"/>
                <w:rtl/>
                <w:lang w:eastAsia="he-IL"/>
              </w:rPr>
              <w:t>לצערי, חסר לי וותק של חצי שנה לעמידה בתנאי הסף, אולם  במהלך התמחות שעשיתי בפרקליטות מחוז ירושלים (פלילי) צברתי ניסיון רב בהגשת כתבי אישום, ניהול תיקים פלילים בבתי המשפט וכו' - ניתן להמציא מסמכים המעידים על כך.</w:t>
            </w:r>
          </w:p>
        </w:tc>
        <w:tc>
          <w:tcPr>
            <w:tcW w:w="4536" w:type="dxa"/>
          </w:tcPr>
          <w:p w:rsidR="0043370C" w:rsidRDefault="0043370C" w:rsidP="00E01CB5">
            <w:pPr>
              <w:rPr>
                <w:rFonts w:cs="David"/>
                <w:b/>
                <w:bCs w:val="0"/>
                <w:sz w:val="24"/>
                <w:szCs w:val="24"/>
                <w:rtl/>
              </w:rPr>
            </w:pPr>
            <w:r>
              <w:rPr>
                <w:rFonts w:cs="David" w:hint="cs"/>
                <w:b/>
                <w:bCs w:val="0"/>
                <w:sz w:val="24"/>
                <w:szCs w:val="24"/>
                <w:rtl/>
              </w:rPr>
              <w:t xml:space="preserve">בהתאם לסעיפים 11.1.3 ו- 12.1.12 על המציע/ המבצע להיות בעל נסיון מוכח של שלוש שנים לפחות במהלך חמש השנים האחרונות שקדמו למועד האחרון להגשת הצעות למכרז זה בעבודה </w:t>
            </w:r>
            <w:r w:rsidRPr="00C313B2">
              <w:rPr>
                <w:rFonts w:cs="David" w:hint="cs"/>
                <w:sz w:val="24"/>
                <w:szCs w:val="24"/>
                <w:rtl/>
              </w:rPr>
              <w:t>כעורך דין</w:t>
            </w:r>
            <w:r>
              <w:rPr>
                <w:rFonts w:cs="David" w:hint="cs"/>
                <w:b/>
                <w:bCs w:val="0"/>
                <w:sz w:val="24"/>
                <w:szCs w:val="24"/>
                <w:rtl/>
              </w:rPr>
              <w:t xml:space="preserve"> בתחום המשפט הפלילי ובליטיגציה בתחום זה.</w:t>
            </w:r>
          </w:p>
          <w:p w:rsidR="0043370C" w:rsidRPr="00CA0D01" w:rsidRDefault="0043370C" w:rsidP="00E01CB5">
            <w:pPr>
              <w:rPr>
                <w:rFonts w:cs="David"/>
                <w:b/>
                <w:bCs w:val="0"/>
                <w:sz w:val="24"/>
                <w:szCs w:val="24"/>
                <w:rtl/>
              </w:rPr>
            </w:pPr>
          </w:p>
        </w:tc>
      </w:tr>
    </w:tbl>
    <w:p w:rsidR="0043370C" w:rsidRPr="0045689B" w:rsidRDefault="0043370C" w:rsidP="0043370C">
      <w:pPr>
        <w:bidi/>
        <w:rPr>
          <w:rFonts w:cs="David"/>
          <w:sz w:val="24"/>
          <w:szCs w:val="24"/>
          <w:u w:val="single"/>
          <w:rtl/>
        </w:rPr>
      </w:pPr>
    </w:p>
    <w:p w:rsidR="0045689B" w:rsidRPr="0043370C" w:rsidRDefault="0045689B" w:rsidP="0043370C">
      <w:pPr>
        <w:rPr>
          <w:szCs w:val="20"/>
        </w:rPr>
      </w:pPr>
    </w:p>
    <w:sectPr w:rsidR="0045689B" w:rsidRPr="0043370C" w:rsidSect="00CA0D01">
      <w:headerReference w:type="default" r:id="rId13"/>
      <w:footerReference w:type="even" r:id="rId14"/>
      <w:footerReference w:type="default" r:id="rId15"/>
      <w:pgSz w:w="11906" w:h="16838"/>
      <w:pgMar w:top="1440" w:right="1466" w:bottom="1440" w:left="1440" w:header="284" w:footer="44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2495" w:rsidRDefault="00DB2495">
      <w:r>
        <w:separator/>
      </w:r>
    </w:p>
  </w:endnote>
  <w:endnote w:type="continuationSeparator" w:id="0">
    <w:p w:rsidR="00DB2495" w:rsidRDefault="00DB24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A38" w:rsidRDefault="00DF4A38" w:rsidP="00637FFE">
    <w:pPr>
      <w:pStyle w:val="a4"/>
      <w:framePr w:wrap="around" w:vAnchor="text" w:hAnchor="text" w:xAlign="center" w:y="1"/>
      <w:rPr>
        <w:rStyle w:val="a7"/>
      </w:rPr>
    </w:pPr>
    <w:r>
      <w:rPr>
        <w:rStyle w:val="a7"/>
        <w:rtl/>
      </w:rPr>
      <w:fldChar w:fldCharType="begin"/>
    </w:r>
    <w:r>
      <w:rPr>
        <w:rStyle w:val="a7"/>
      </w:rPr>
      <w:instrText xml:space="preserve">PAGE  </w:instrText>
    </w:r>
    <w:r>
      <w:rPr>
        <w:rStyle w:val="a7"/>
        <w:rtl/>
      </w:rPr>
      <w:fldChar w:fldCharType="end"/>
    </w:r>
  </w:p>
  <w:p w:rsidR="00DF4A38" w:rsidRDefault="00DF4A38">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000" w:type="dxa"/>
      <w:tblBorders>
        <w:top w:val="single" w:sz="8" w:space="0" w:color="005F9D"/>
      </w:tblBorders>
      <w:tblCellMar>
        <w:left w:w="0" w:type="dxa"/>
        <w:right w:w="0" w:type="dxa"/>
      </w:tblCellMar>
      <w:tblLook w:val="01E0" w:firstRow="1" w:lastRow="1" w:firstColumn="1" w:lastColumn="1" w:noHBand="0" w:noVBand="0"/>
    </w:tblPr>
    <w:tblGrid>
      <w:gridCol w:w="5040"/>
      <w:gridCol w:w="3960"/>
    </w:tblGrid>
    <w:tr w:rsidR="00DF4A38" w:rsidRPr="005754DF" w:rsidTr="005754DF">
      <w:tc>
        <w:tcPr>
          <w:tcW w:w="5040" w:type="dxa"/>
          <w:shd w:val="clear" w:color="auto" w:fill="auto"/>
          <w:vAlign w:val="center"/>
        </w:tcPr>
        <w:p w:rsidR="00DF4A38" w:rsidRPr="005754DF" w:rsidRDefault="00DF4A38" w:rsidP="005754DF">
          <w:pPr>
            <w:pStyle w:val="a4"/>
            <w:bidi/>
            <w:jc w:val="center"/>
            <w:rPr>
              <w:rFonts w:ascii="Arial" w:hAnsi="Arial" w:cs="Arial"/>
              <w:color w:val="015F9D"/>
              <w:spacing w:val="10"/>
              <w:szCs w:val="20"/>
            </w:rPr>
          </w:pPr>
          <w:r w:rsidRPr="005754DF">
            <w:rPr>
              <w:rFonts w:ascii="Arial" w:hAnsi="Arial" w:cs="Arial" w:hint="cs"/>
              <w:color w:val="015F9D"/>
              <w:spacing w:val="10"/>
              <w:szCs w:val="20"/>
              <w:rtl/>
            </w:rPr>
            <w:t xml:space="preserve">רח' מסילת ישרים </w:t>
          </w:r>
          <w:r w:rsidRPr="005754DF">
            <w:rPr>
              <w:rFonts w:ascii="Arial" w:hAnsi="Arial" w:cs="Arial" w:hint="cs"/>
              <w:color w:val="015F9D"/>
              <w:spacing w:val="10"/>
              <w:sz w:val="18"/>
              <w:szCs w:val="18"/>
              <w:rtl/>
            </w:rPr>
            <w:t>6</w:t>
          </w:r>
          <w:r w:rsidRPr="005754DF">
            <w:rPr>
              <w:rFonts w:ascii="Arial" w:hAnsi="Arial" w:cs="Arial" w:hint="cs"/>
              <w:color w:val="015F9D"/>
              <w:spacing w:val="10"/>
              <w:szCs w:val="20"/>
              <w:rtl/>
            </w:rPr>
            <w:t xml:space="preserve">, ירושלים </w:t>
          </w:r>
          <w:r w:rsidRPr="005754DF">
            <w:rPr>
              <w:rFonts w:ascii="Arial" w:hAnsi="Arial" w:cs="Arial" w:hint="cs"/>
              <w:color w:val="015F9D"/>
              <w:spacing w:val="10"/>
              <w:sz w:val="18"/>
              <w:szCs w:val="18"/>
              <w:rtl/>
            </w:rPr>
            <w:t>94584</w:t>
          </w:r>
          <w:r w:rsidRPr="005754DF">
            <w:rPr>
              <w:rFonts w:ascii="Arial" w:hAnsi="Arial" w:cs="Arial" w:hint="cs"/>
              <w:color w:val="015F9D"/>
              <w:spacing w:val="10"/>
              <w:szCs w:val="20"/>
              <w:rtl/>
            </w:rPr>
            <w:t xml:space="preserve">, טל: </w:t>
          </w:r>
          <w:r>
            <w:rPr>
              <w:rFonts w:ascii="Arial" w:hAnsi="Arial" w:cs="Arial" w:hint="cs"/>
              <w:color w:val="015F9D"/>
              <w:spacing w:val="10"/>
              <w:sz w:val="18"/>
              <w:szCs w:val="18"/>
              <w:rtl/>
            </w:rPr>
            <w:t xml:space="preserve">6294856 -02 </w:t>
          </w:r>
          <w:r w:rsidRPr="005754DF">
            <w:rPr>
              <w:rFonts w:ascii="Arial" w:hAnsi="Arial" w:cs="Arial" w:hint="cs"/>
              <w:color w:val="015F9D"/>
              <w:spacing w:val="10"/>
              <w:szCs w:val="20"/>
              <w:rtl/>
            </w:rPr>
            <w:t xml:space="preserve">פקס: </w:t>
          </w:r>
          <w:r>
            <w:rPr>
              <w:rFonts w:ascii="Arial" w:hAnsi="Arial" w:cs="Arial" w:hint="cs"/>
              <w:color w:val="015F9D"/>
              <w:spacing w:val="10"/>
              <w:szCs w:val="20"/>
              <w:rtl/>
            </w:rPr>
            <w:t xml:space="preserve">6294848 -02 </w:t>
          </w:r>
          <w:r w:rsidRPr="005754DF">
            <w:rPr>
              <w:rFonts w:ascii="Arial" w:hAnsi="Arial" w:cs="Arial" w:hint="cs"/>
              <w:color w:val="015F9D"/>
              <w:spacing w:val="10"/>
              <w:szCs w:val="20"/>
              <w:rtl/>
            </w:rPr>
            <w:t xml:space="preserve"> </w:t>
          </w:r>
          <w:r>
            <w:rPr>
              <w:rFonts w:ascii="Arial" w:hAnsi="Arial" w:cs="Arial"/>
              <w:color w:val="015F9D"/>
              <w:spacing w:val="10"/>
              <w:szCs w:val="20"/>
            </w:rPr>
            <w:t>dganitra@moin.gov.il</w:t>
          </w:r>
        </w:p>
      </w:tc>
      <w:tc>
        <w:tcPr>
          <w:tcW w:w="3960" w:type="dxa"/>
          <w:shd w:val="clear" w:color="auto" w:fill="auto"/>
        </w:tcPr>
        <w:p w:rsidR="00DF4A38" w:rsidRPr="005754DF" w:rsidRDefault="00DF4A38" w:rsidP="005754DF">
          <w:pPr>
            <w:pStyle w:val="a4"/>
            <w:bidi/>
            <w:jc w:val="center"/>
            <w:rPr>
              <w:rFonts w:ascii="Arial" w:hAnsi="Arial" w:cs="Arial"/>
              <w:szCs w:val="20"/>
              <w:rtl/>
            </w:rPr>
          </w:pPr>
          <w:r>
            <w:rPr>
              <w:rFonts w:ascii="Arial" w:hAnsi="Arial" w:cs="Arial"/>
              <w:noProof/>
              <w:szCs w:val="20"/>
              <w:lang w:eastAsia="en-US"/>
            </w:rPr>
            <w:drawing>
              <wp:inline distT="0" distB="0" distL="0" distR="0" wp14:anchorId="53010081" wp14:editId="53010082">
                <wp:extent cx="1933575" cy="428625"/>
                <wp:effectExtent l="0" t="0" r="9525" b="9525"/>
                <wp:docPr id="7" name="תמונה 7" descr="sisma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sisma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33575" cy="428625"/>
                        </a:xfrm>
                        <a:prstGeom prst="rect">
                          <a:avLst/>
                        </a:prstGeom>
                        <a:noFill/>
                        <a:ln>
                          <a:noFill/>
                        </a:ln>
                      </pic:spPr>
                    </pic:pic>
                  </a:graphicData>
                </a:graphic>
              </wp:inline>
            </w:drawing>
          </w:r>
        </w:p>
      </w:tc>
    </w:tr>
  </w:tbl>
  <w:p w:rsidR="00DF4A38" w:rsidRPr="00054A92" w:rsidRDefault="00DF4A38">
    <w:pPr>
      <w:pStyle w:val="a4"/>
      <w:rPr>
        <w:rFonts w:ascii="Arial" w:hAnsi="Arial" w:cs="Arial"/>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2495" w:rsidRDefault="00DB2495">
      <w:r>
        <w:separator/>
      </w:r>
    </w:p>
  </w:footnote>
  <w:footnote w:type="continuationSeparator" w:id="0">
    <w:p w:rsidR="00DB2495" w:rsidRDefault="00DB249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0080" w:type="dxa"/>
      <w:tblInd w:w="-360" w:type="dxa"/>
      <w:tblLayout w:type="fixed"/>
      <w:tblCellMar>
        <w:left w:w="0" w:type="dxa"/>
        <w:right w:w="0" w:type="dxa"/>
      </w:tblCellMar>
      <w:tblLook w:val="01E0" w:firstRow="1" w:lastRow="1" w:firstColumn="1" w:lastColumn="1" w:noHBand="0" w:noVBand="0"/>
    </w:tblPr>
    <w:tblGrid>
      <w:gridCol w:w="2340"/>
      <w:gridCol w:w="4860"/>
      <w:gridCol w:w="2880"/>
    </w:tblGrid>
    <w:tr w:rsidR="00DF4A38" w:rsidRPr="005754DF" w:rsidTr="005754DF">
      <w:tc>
        <w:tcPr>
          <w:tcW w:w="2340" w:type="dxa"/>
          <w:vMerge w:val="restart"/>
          <w:shd w:val="clear" w:color="auto" w:fill="auto"/>
          <w:vAlign w:val="bottom"/>
        </w:tcPr>
        <w:p w:rsidR="00DF4A38" w:rsidRPr="005C291B" w:rsidRDefault="00DF4A38" w:rsidP="003158BA">
          <w:pPr>
            <w:bidi/>
            <w:spacing w:line="276" w:lineRule="auto"/>
            <w:jc w:val="center"/>
            <w:rPr>
              <w:rFonts w:ascii="Arial" w:hAnsi="Arial" w:cs="Arial"/>
              <w:color w:val="005F9D"/>
              <w:sz w:val="28"/>
              <w:szCs w:val="28"/>
              <w:rtl/>
            </w:rPr>
          </w:pPr>
          <w:r w:rsidRPr="005C291B">
            <w:rPr>
              <w:rFonts w:ascii="Arial" w:hAnsi="Arial" w:cs="Arial" w:hint="cs"/>
              <w:color w:val="005F9D"/>
              <w:sz w:val="28"/>
              <w:szCs w:val="28"/>
              <w:rtl/>
            </w:rPr>
            <w:t xml:space="preserve">ועדת </w:t>
          </w:r>
          <w:r>
            <w:rPr>
              <w:rFonts w:ascii="Arial" w:hAnsi="Arial" w:cs="Arial" w:hint="cs"/>
              <w:color w:val="005F9D"/>
              <w:sz w:val="28"/>
              <w:szCs w:val="28"/>
              <w:rtl/>
            </w:rPr>
            <w:t>מכרזים</w:t>
          </w:r>
        </w:p>
        <w:p w:rsidR="00DF4A38" w:rsidRPr="005754DF" w:rsidRDefault="00DF4A38" w:rsidP="005754DF">
          <w:pPr>
            <w:bidi/>
            <w:spacing w:line="276" w:lineRule="auto"/>
            <w:jc w:val="center"/>
            <w:rPr>
              <w:rFonts w:ascii="Arial" w:hAnsi="Arial" w:cs="Arial"/>
              <w:b/>
              <w:bCs w:val="0"/>
              <w:color w:val="005F9D"/>
              <w:szCs w:val="20"/>
              <w:rtl/>
            </w:rPr>
          </w:pPr>
        </w:p>
      </w:tc>
      <w:tc>
        <w:tcPr>
          <w:tcW w:w="4860" w:type="dxa"/>
          <w:shd w:val="clear" w:color="auto" w:fill="auto"/>
        </w:tcPr>
        <w:p w:rsidR="00DF4A38" w:rsidRPr="005754DF" w:rsidRDefault="00DF4A38" w:rsidP="005754DF">
          <w:pPr>
            <w:pStyle w:val="a3"/>
            <w:bidi/>
            <w:jc w:val="center"/>
            <w:rPr>
              <w:rFonts w:ascii="Arial" w:hAnsi="Arial" w:cs="Arial"/>
              <w:rtl/>
            </w:rPr>
          </w:pPr>
          <w:r>
            <w:rPr>
              <w:rFonts w:ascii="Arial" w:hAnsi="Arial" w:cs="Arial" w:hint="cs"/>
              <w:noProof/>
              <w:lang w:eastAsia="en-US"/>
            </w:rPr>
            <w:drawing>
              <wp:inline distT="0" distB="0" distL="0" distR="0" wp14:anchorId="5301007D" wp14:editId="5301007E">
                <wp:extent cx="1066800" cy="1143000"/>
                <wp:effectExtent l="0" t="0" r="0" b="0"/>
                <wp:docPr id="1" name="תמונה 1" descr="logo-israel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israel_fix"/>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6800" cy="1143000"/>
                        </a:xfrm>
                        <a:prstGeom prst="rect">
                          <a:avLst/>
                        </a:prstGeom>
                        <a:noFill/>
                        <a:ln>
                          <a:noFill/>
                        </a:ln>
                      </pic:spPr>
                    </pic:pic>
                  </a:graphicData>
                </a:graphic>
              </wp:inline>
            </w:drawing>
          </w:r>
        </w:p>
      </w:tc>
      <w:tc>
        <w:tcPr>
          <w:tcW w:w="2880" w:type="dxa"/>
          <w:vMerge w:val="restart"/>
          <w:shd w:val="clear" w:color="auto" w:fill="auto"/>
          <w:vAlign w:val="bottom"/>
        </w:tcPr>
        <w:p w:rsidR="00DF4A38" w:rsidRPr="005754DF" w:rsidRDefault="00DF4A38" w:rsidP="005754DF">
          <w:pPr>
            <w:pStyle w:val="a3"/>
            <w:bidi/>
            <w:jc w:val="center"/>
            <w:rPr>
              <w:rFonts w:ascii="Arial" w:hAnsi="Arial" w:cs="Arial"/>
              <w:rtl/>
            </w:rPr>
          </w:pPr>
          <w:r>
            <w:rPr>
              <w:rFonts w:ascii="Arial" w:hAnsi="Arial" w:cs="Arial" w:hint="cs"/>
              <w:noProof/>
              <w:lang w:eastAsia="en-US"/>
            </w:rPr>
            <w:drawing>
              <wp:inline distT="0" distB="0" distL="0" distR="0" wp14:anchorId="5301007F" wp14:editId="53010080">
                <wp:extent cx="1181100" cy="1257300"/>
                <wp:effectExtent l="0" t="0" r="0" b="0"/>
                <wp:docPr id="2" name="תמונה 2" descr="logo_Fi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_Fix"/>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181100" cy="1257300"/>
                        </a:xfrm>
                        <a:prstGeom prst="rect">
                          <a:avLst/>
                        </a:prstGeom>
                        <a:noFill/>
                        <a:ln>
                          <a:noFill/>
                        </a:ln>
                      </pic:spPr>
                    </pic:pic>
                  </a:graphicData>
                </a:graphic>
              </wp:inline>
            </w:drawing>
          </w:r>
        </w:p>
      </w:tc>
    </w:tr>
    <w:tr w:rsidR="00DF4A38" w:rsidRPr="005754DF" w:rsidTr="005754DF">
      <w:trPr>
        <w:trHeight w:val="842"/>
      </w:trPr>
      <w:tc>
        <w:tcPr>
          <w:tcW w:w="2340" w:type="dxa"/>
          <w:vMerge/>
          <w:shd w:val="clear" w:color="auto" w:fill="auto"/>
        </w:tcPr>
        <w:p w:rsidR="00DF4A38" w:rsidRPr="005754DF" w:rsidRDefault="00DF4A38" w:rsidP="005754DF">
          <w:pPr>
            <w:pStyle w:val="a3"/>
            <w:bidi/>
            <w:rPr>
              <w:rFonts w:ascii="Arial" w:hAnsi="Arial" w:cs="Arial"/>
              <w:rtl/>
            </w:rPr>
          </w:pPr>
        </w:p>
      </w:tc>
      <w:tc>
        <w:tcPr>
          <w:tcW w:w="4860" w:type="dxa"/>
          <w:shd w:val="clear" w:color="auto" w:fill="auto"/>
          <w:vAlign w:val="center"/>
        </w:tcPr>
        <w:p w:rsidR="00DF4A38" w:rsidRPr="005754DF" w:rsidRDefault="00DF4A38" w:rsidP="005754DF">
          <w:pPr>
            <w:pStyle w:val="a3"/>
            <w:bidi/>
            <w:jc w:val="center"/>
            <w:rPr>
              <w:rFonts w:ascii="Arial" w:hAnsi="Arial" w:cs="Arial"/>
              <w:color w:val="005F9D"/>
              <w:sz w:val="22"/>
              <w:szCs w:val="22"/>
              <w:rtl/>
            </w:rPr>
          </w:pPr>
        </w:p>
      </w:tc>
      <w:tc>
        <w:tcPr>
          <w:tcW w:w="2880" w:type="dxa"/>
          <w:vMerge/>
          <w:shd w:val="clear" w:color="auto" w:fill="auto"/>
          <w:tcMar>
            <w:top w:w="57" w:type="dxa"/>
          </w:tcMar>
          <w:tcFitText/>
        </w:tcPr>
        <w:p w:rsidR="00DF4A38" w:rsidRPr="005754DF" w:rsidRDefault="00DF4A38" w:rsidP="005754DF">
          <w:pPr>
            <w:pStyle w:val="a3"/>
            <w:bidi/>
            <w:rPr>
              <w:rFonts w:ascii="Arial" w:hAnsi="Arial" w:cs="Arial"/>
              <w:b/>
              <w:bCs w:val="0"/>
              <w:color w:val="015F9D"/>
              <w:szCs w:val="20"/>
              <w:rtl/>
            </w:rPr>
          </w:pPr>
        </w:p>
      </w:tc>
    </w:tr>
  </w:tbl>
  <w:p w:rsidR="00DF4A38" w:rsidRPr="00D85340" w:rsidRDefault="00DF4A38">
    <w:pPr>
      <w:pStyle w:val="a3"/>
      <w:rPr>
        <w:rFonts w:ascii="Arial" w:hAnsi="Arial" w:cs="Aria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225633"/>
    <w:multiLevelType w:val="multilevel"/>
    <w:tmpl w:val="0F0C85BE"/>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1080"/>
        </w:tabs>
        <w:ind w:left="1080" w:hanging="360"/>
      </w:pPr>
      <w:rPr>
        <w:rFonts w:ascii="Times New Roman" w:eastAsia="Times New Roman" w:hAnsi="Times New Roman" w:cs="David"/>
        <w:lang w:bidi="he-IL"/>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600"/>
        </w:tabs>
        <w:ind w:left="3600" w:hanging="108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4680"/>
        </w:tabs>
        <w:ind w:left="4680" w:hanging="1440"/>
      </w:pPr>
      <w:rPr>
        <w:rFonts w:hint="default"/>
      </w:rPr>
    </w:lvl>
  </w:abstractNum>
  <w:abstractNum w:abstractNumId="1">
    <w:nsid w:val="535A7D64"/>
    <w:multiLevelType w:val="multilevel"/>
    <w:tmpl w:val="673853C6"/>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
    <w:nsid w:val="6A161BD5"/>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
    <w:nsid w:val="6C887430"/>
    <w:multiLevelType w:val="multilevel"/>
    <w:tmpl w:val="71E61D28"/>
    <w:lvl w:ilvl="0">
      <w:start w:val="2"/>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DA6"/>
    <w:rsid w:val="000011DC"/>
    <w:rsid w:val="00012E25"/>
    <w:rsid w:val="00044EB7"/>
    <w:rsid w:val="000474B2"/>
    <w:rsid w:val="00054A92"/>
    <w:rsid w:val="00073A2A"/>
    <w:rsid w:val="00076C1D"/>
    <w:rsid w:val="000824B7"/>
    <w:rsid w:val="000B1D0E"/>
    <w:rsid w:val="000B50D2"/>
    <w:rsid w:val="000E7F3A"/>
    <w:rsid w:val="000F11BA"/>
    <w:rsid w:val="000F27AE"/>
    <w:rsid w:val="000F7368"/>
    <w:rsid w:val="00103A54"/>
    <w:rsid w:val="0010614C"/>
    <w:rsid w:val="00112340"/>
    <w:rsid w:val="00126AEA"/>
    <w:rsid w:val="001559E5"/>
    <w:rsid w:val="001566DB"/>
    <w:rsid w:val="00162CD6"/>
    <w:rsid w:val="001724A5"/>
    <w:rsid w:val="001802B4"/>
    <w:rsid w:val="00195B58"/>
    <w:rsid w:val="002075AF"/>
    <w:rsid w:val="00264475"/>
    <w:rsid w:val="002655CA"/>
    <w:rsid w:val="00281C6E"/>
    <w:rsid w:val="002871AA"/>
    <w:rsid w:val="00293AAD"/>
    <w:rsid w:val="002A685F"/>
    <w:rsid w:val="002D5898"/>
    <w:rsid w:val="002E33FD"/>
    <w:rsid w:val="002F43EB"/>
    <w:rsid w:val="002F60EC"/>
    <w:rsid w:val="003158BA"/>
    <w:rsid w:val="00342D9A"/>
    <w:rsid w:val="003648DE"/>
    <w:rsid w:val="00387CE5"/>
    <w:rsid w:val="003A35A5"/>
    <w:rsid w:val="00400C69"/>
    <w:rsid w:val="00422F52"/>
    <w:rsid w:val="004245AD"/>
    <w:rsid w:val="004253E4"/>
    <w:rsid w:val="0043370C"/>
    <w:rsid w:val="0045689B"/>
    <w:rsid w:val="00457DD2"/>
    <w:rsid w:val="00460C86"/>
    <w:rsid w:val="00465BBC"/>
    <w:rsid w:val="00467A3D"/>
    <w:rsid w:val="004A779D"/>
    <w:rsid w:val="004B3D9F"/>
    <w:rsid w:val="00532B4F"/>
    <w:rsid w:val="0054474F"/>
    <w:rsid w:val="005529A6"/>
    <w:rsid w:val="005666D0"/>
    <w:rsid w:val="005754DF"/>
    <w:rsid w:val="00580B50"/>
    <w:rsid w:val="005A55FF"/>
    <w:rsid w:val="005C1DC8"/>
    <w:rsid w:val="005C291B"/>
    <w:rsid w:val="005E1DC2"/>
    <w:rsid w:val="005E2DD4"/>
    <w:rsid w:val="005F1A70"/>
    <w:rsid w:val="00604191"/>
    <w:rsid w:val="00605B07"/>
    <w:rsid w:val="00633CFA"/>
    <w:rsid w:val="00637FFE"/>
    <w:rsid w:val="006730F9"/>
    <w:rsid w:val="00692DB9"/>
    <w:rsid w:val="006D178E"/>
    <w:rsid w:val="00707326"/>
    <w:rsid w:val="0071774C"/>
    <w:rsid w:val="00721838"/>
    <w:rsid w:val="00725FDB"/>
    <w:rsid w:val="00757A7D"/>
    <w:rsid w:val="0076032F"/>
    <w:rsid w:val="00760352"/>
    <w:rsid w:val="00775239"/>
    <w:rsid w:val="0078758B"/>
    <w:rsid w:val="00793212"/>
    <w:rsid w:val="007965EB"/>
    <w:rsid w:val="007A53A2"/>
    <w:rsid w:val="007D6820"/>
    <w:rsid w:val="007F391B"/>
    <w:rsid w:val="00800E6A"/>
    <w:rsid w:val="00834627"/>
    <w:rsid w:val="00846767"/>
    <w:rsid w:val="00850DBD"/>
    <w:rsid w:val="00864614"/>
    <w:rsid w:val="0087421F"/>
    <w:rsid w:val="0088304F"/>
    <w:rsid w:val="00890C77"/>
    <w:rsid w:val="00896373"/>
    <w:rsid w:val="008A649A"/>
    <w:rsid w:val="00920C77"/>
    <w:rsid w:val="00921117"/>
    <w:rsid w:val="00923032"/>
    <w:rsid w:val="00955FAF"/>
    <w:rsid w:val="009674B6"/>
    <w:rsid w:val="00971A6F"/>
    <w:rsid w:val="0097224C"/>
    <w:rsid w:val="00973D16"/>
    <w:rsid w:val="00997176"/>
    <w:rsid w:val="009B455C"/>
    <w:rsid w:val="009C6D11"/>
    <w:rsid w:val="009E44EA"/>
    <w:rsid w:val="00A07D14"/>
    <w:rsid w:val="00A13CBD"/>
    <w:rsid w:val="00A223CF"/>
    <w:rsid w:val="00A24462"/>
    <w:rsid w:val="00AA376E"/>
    <w:rsid w:val="00AC7EB5"/>
    <w:rsid w:val="00B249E5"/>
    <w:rsid w:val="00B477F4"/>
    <w:rsid w:val="00B62F4A"/>
    <w:rsid w:val="00B65DA6"/>
    <w:rsid w:val="00B74495"/>
    <w:rsid w:val="00B803A7"/>
    <w:rsid w:val="00B81516"/>
    <w:rsid w:val="00B819D5"/>
    <w:rsid w:val="00B912CD"/>
    <w:rsid w:val="00BA69CD"/>
    <w:rsid w:val="00BB195C"/>
    <w:rsid w:val="00BD31AB"/>
    <w:rsid w:val="00BF2435"/>
    <w:rsid w:val="00BF737E"/>
    <w:rsid w:val="00C13B04"/>
    <w:rsid w:val="00C32C23"/>
    <w:rsid w:val="00C43416"/>
    <w:rsid w:val="00C65DA6"/>
    <w:rsid w:val="00C6689F"/>
    <w:rsid w:val="00C94781"/>
    <w:rsid w:val="00CA0D01"/>
    <w:rsid w:val="00CC2ADF"/>
    <w:rsid w:val="00CE2785"/>
    <w:rsid w:val="00D36DF1"/>
    <w:rsid w:val="00D42D5B"/>
    <w:rsid w:val="00D50BAE"/>
    <w:rsid w:val="00D80AF4"/>
    <w:rsid w:val="00D8453E"/>
    <w:rsid w:val="00D85340"/>
    <w:rsid w:val="00DB2495"/>
    <w:rsid w:val="00DB4218"/>
    <w:rsid w:val="00DC692D"/>
    <w:rsid w:val="00DE76C4"/>
    <w:rsid w:val="00DF4A38"/>
    <w:rsid w:val="00E32F1A"/>
    <w:rsid w:val="00E4522E"/>
    <w:rsid w:val="00E714C5"/>
    <w:rsid w:val="00E7605F"/>
    <w:rsid w:val="00E873BE"/>
    <w:rsid w:val="00ED1E07"/>
    <w:rsid w:val="00EE000E"/>
    <w:rsid w:val="00F07C32"/>
    <w:rsid w:val="00F27DFB"/>
    <w:rsid w:val="00F4477D"/>
    <w:rsid w:val="00FA06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30100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65DA6"/>
    <w:pPr>
      <w:tabs>
        <w:tab w:val="center" w:pos="4153"/>
        <w:tab w:val="right" w:pos="8306"/>
      </w:tabs>
    </w:pPr>
  </w:style>
  <w:style w:type="paragraph" w:styleId="a4">
    <w:name w:val="footer"/>
    <w:basedOn w:val="a"/>
    <w:rsid w:val="00C65DA6"/>
    <w:pPr>
      <w:tabs>
        <w:tab w:val="center" w:pos="4153"/>
        <w:tab w:val="right" w:pos="8306"/>
      </w:tabs>
    </w:pPr>
  </w:style>
  <w:style w:type="table" w:styleId="a5">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5F1A70"/>
    <w:rPr>
      <w:rFonts w:ascii="Tahoma" w:hAnsi="Tahoma" w:cs="Tahoma"/>
      <w:sz w:val="16"/>
      <w:szCs w:val="16"/>
    </w:rPr>
  </w:style>
  <w:style w:type="character" w:styleId="a7">
    <w:name w:val="page number"/>
    <w:basedOn w:val="a0"/>
    <w:rsid w:val="00707326"/>
  </w:style>
  <w:style w:type="paragraph" w:styleId="a8">
    <w:name w:val="List Paragraph"/>
    <w:basedOn w:val="a"/>
    <w:uiPriority w:val="34"/>
    <w:qFormat/>
    <w:rsid w:val="00973D16"/>
    <w:pPr>
      <w:overflowPunct/>
      <w:autoSpaceDE/>
      <w:autoSpaceDN/>
      <w:bidi/>
      <w:adjustRightInd/>
      <w:ind w:left="720"/>
      <w:textAlignment w:val="auto"/>
    </w:pPr>
    <w:rPr>
      <w:rFonts w:ascii="Calibri" w:eastAsiaTheme="minorHAnsi" w:hAnsi="Calibri" w:cs="Times New Roman"/>
      <w:bCs w:val="0"/>
      <w:color w:val="auto"/>
      <w:sz w:val="22"/>
      <w:szCs w:val="22"/>
      <w:lang w:eastAsia="en-US"/>
    </w:rPr>
  </w:style>
  <w:style w:type="paragraph" w:styleId="NormalWeb">
    <w:name w:val="Normal (Web)"/>
    <w:basedOn w:val="a"/>
    <w:uiPriority w:val="99"/>
    <w:unhideWhenUsed/>
    <w:rsid w:val="00DF4A38"/>
    <w:pPr>
      <w:overflowPunct/>
      <w:autoSpaceDE/>
      <w:autoSpaceDN/>
      <w:adjustRightInd/>
      <w:spacing w:before="100" w:beforeAutospacing="1" w:after="100" w:afterAutospacing="1"/>
      <w:textAlignment w:val="auto"/>
    </w:pPr>
    <w:rPr>
      <w:rFonts w:eastAsiaTheme="minorHAnsi" w:cs="Times New Roman"/>
      <w:bCs w:val="0"/>
      <w:color w:val="auto"/>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65BBC"/>
    <w:pPr>
      <w:overflowPunct w:val="0"/>
      <w:autoSpaceDE w:val="0"/>
      <w:autoSpaceDN w:val="0"/>
      <w:adjustRightInd w:val="0"/>
      <w:textAlignment w:val="baseline"/>
    </w:pPr>
    <w:rPr>
      <w:rFonts w:cs="Narkisim"/>
      <w:bCs/>
      <w:color w:val="000000"/>
      <w:szCs w:val="3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C65DA6"/>
    <w:pPr>
      <w:tabs>
        <w:tab w:val="center" w:pos="4153"/>
        <w:tab w:val="right" w:pos="8306"/>
      </w:tabs>
    </w:pPr>
  </w:style>
  <w:style w:type="paragraph" w:styleId="a4">
    <w:name w:val="footer"/>
    <w:basedOn w:val="a"/>
    <w:rsid w:val="00C65DA6"/>
    <w:pPr>
      <w:tabs>
        <w:tab w:val="center" w:pos="4153"/>
        <w:tab w:val="right" w:pos="8306"/>
      </w:tabs>
    </w:pPr>
  </w:style>
  <w:style w:type="table" w:styleId="a5">
    <w:name w:val="Table Grid"/>
    <w:basedOn w:val="a1"/>
    <w:rsid w:val="00C65DA6"/>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semiHidden/>
    <w:rsid w:val="005F1A70"/>
    <w:rPr>
      <w:rFonts w:ascii="Tahoma" w:hAnsi="Tahoma" w:cs="Tahoma"/>
      <w:sz w:val="16"/>
      <w:szCs w:val="16"/>
    </w:rPr>
  </w:style>
  <w:style w:type="character" w:styleId="a7">
    <w:name w:val="page number"/>
    <w:basedOn w:val="a0"/>
    <w:rsid w:val="00707326"/>
  </w:style>
  <w:style w:type="paragraph" w:styleId="a8">
    <w:name w:val="List Paragraph"/>
    <w:basedOn w:val="a"/>
    <w:uiPriority w:val="34"/>
    <w:qFormat/>
    <w:rsid w:val="00973D16"/>
    <w:pPr>
      <w:overflowPunct/>
      <w:autoSpaceDE/>
      <w:autoSpaceDN/>
      <w:bidi/>
      <w:adjustRightInd/>
      <w:ind w:left="720"/>
      <w:textAlignment w:val="auto"/>
    </w:pPr>
    <w:rPr>
      <w:rFonts w:ascii="Calibri" w:eastAsiaTheme="minorHAnsi" w:hAnsi="Calibri" w:cs="Times New Roman"/>
      <w:bCs w:val="0"/>
      <w:color w:val="auto"/>
      <w:sz w:val="22"/>
      <w:szCs w:val="22"/>
      <w:lang w:eastAsia="en-US"/>
    </w:rPr>
  </w:style>
  <w:style w:type="paragraph" w:styleId="NormalWeb">
    <w:name w:val="Normal (Web)"/>
    <w:basedOn w:val="a"/>
    <w:uiPriority w:val="99"/>
    <w:unhideWhenUsed/>
    <w:rsid w:val="00DF4A38"/>
    <w:pPr>
      <w:overflowPunct/>
      <w:autoSpaceDE/>
      <w:autoSpaceDN/>
      <w:adjustRightInd/>
      <w:spacing w:before="100" w:beforeAutospacing="1" w:after="100" w:afterAutospacing="1"/>
      <w:textAlignment w:val="auto"/>
    </w:pPr>
    <w:rPr>
      <w:rFonts w:eastAsiaTheme="minorHAnsi" w:cs="Times New Roman"/>
      <w:bCs w:val="0"/>
      <w:color w:val="auto"/>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5292071">
      <w:bodyDiv w:val="1"/>
      <w:marLeft w:val="0"/>
      <w:marRight w:val="0"/>
      <w:marTop w:val="0"/>
      <w:marBottom w:val="0"/>
      <w:divBdr>
        <w:top w:val="none" w:sz="0" w:space="0" w:color="auto"/>
        <w:left w:val="none" w:sz="0" w:space="0" w:color="auto"/>
        <w:bottom w:val="none" w:sz="0" w:space="0" w:color="auto"/>
        <w:right w:val="none" w:sz="0" w:space="0" w:color="auto"/>
      </w:divBdr>
    </w:div>
    <w:div w:id="1125077142">
      <w:bodyDiv w:val="1"/>
      <w:marLeft w:val="0"/>
      <w:marRight w:val="0"/>
      <w:marTop w:val="0"/>
      <w:marBottom w:val="0"/>
      <w:divBdr>
        <w:top w:val="none" w:sz="0" w:space="0" w:color="auto"/>
        <w:left w:val="none" w:sz="0" w:space="0" w:color="auto"/>
        <w:bottom w:val="none" w:sz="0" w:space="0" w:color="auto"/>
        <w:right w:val="none" w:sz="0" w:space="0" w:color="auto"/>
      </w:divBdr>
    </w:div>
    <w:div w:id="1379086669">
      <w:bodyDiv w:val="1"/>
      <w:marLeft w:val="0"/>
      <w:marRight w:val="0"/>
      <w:marTop w:val="0"/>
      <w:marBottom w:val="0"/>
      <w:divBdr>
        <w:top w:val="none" w:sz="0" w:space="0" w:color="auto"/>
        <w:left w:val="none" w:sz="0" w:space="0" w:color="auto"/>
        <w:bottom w:val="none" w:sz="0" w:space="0" w:color="auto"/>
        <w:right w:val="none" w:sz="0" w:space="0" w:color="auto"/>
      </w:divBdr>
    </w:div>
    <w:div w:id="15065544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0ecaec10-7e02-499c-8069-00845571a8db">UEWRQZEJPV5R-357-161</_dlc_DocId>
    <_dlc_DocIdUrl xmlns="0ecaec10-7e02-499c-8069-00845571a8db">
      <Url>http://searchdocuments/מכרזי רכש והתקשרויות/_layouts/DocIdRedir.aspx?ID=UEWRQZEJPV5R-357-161</Url>
      <Description>UEWRQZEJPV5R-357-161</Description>
    </_dlc_DocIdUrl>
    <SafeDocsDocUploadDate xmlns="0ecaec10-7e02-499c-8069-00845571a8db" xsi:nil="true"/>
    <SafeDocsHebrewDate xmlns="0ecaec10-7e02-499c-8069-00845571a8db">י"ב בכסלו תשע"ו</SafeDocsHebrewDate>
    <SafeDocsFolderNames xmlns="045eb053-af18-4d5f-8f3e-d2acd77ad66a">מכרזי רכש והתקשרויות/לשכה משפטית/מכרז פומבי - תובעים מכרזים</SafeDocsFolderNames>
    <SafeDocsFolderList xmlns="045eb053-af18-4d5f-8f3e-d2acd77ad66a">0c279372-f51a-4581-8e0c-306f7106d50c; </SafeDocsFolderList>
    <SafeDocsDocID xmlns="045eb053-af18-4d5f-8f3e-d2acd77ad66a">2015-00527804</SafeDocsDocID>
    <SafeDocsAuthor xmlns="045eb053-af18-4d5f-8f3e-d2acd77ad66a">דגנית סמי</SafeDocsAuthor>
    <SafeDocsDocDate xmlns="045eb053-af18-4d5f-8f3e-d2acd77ad66a">2015-11-24T07:30:24+00:00</SafeDocsDocDate>
    <SafeDocsDocRef xmlns="045eb053-af18-4d5f-8f3e-d2acd77ad66a">2015-00527804</SafeDocsDocRef>
  </documentManagement>
</p:properti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רזי רכש והתקשרויות" ma:contentTypeID="0x0101006278BF378CDD418E9C0FADD560463C6A3E008A1B07B03D33E9478F26915C8492B445" ma:contentTypeVersion="1" ma:contentTypeDescription="" ma:contentTypeScope="" ma:versionID="013230034b9d1b95d532d8d18296963e">
  <xsd:schema xmlns:xsd="http://www.w3.org/2001/XMLSchema" xmlns:xs="http://www.w3.org/2001/XMLSchema" xmlns:p="http://schemas.microsoft.com/office/2006/metadata/properties" xmlns:ns2="045eb053-af18-4d5f-8f3e-d2acd77ad66a" xmlns:ns3="0ecaec10-7e02-499c-8069-00845571a8db" targetNamespace="http://schemas.microsoft.com/office/2006/metadata/properties" ma:root="true" ma:fieldsID="03a1a3c2d3ba16c0444546d3982b0194" ns2:_="" ns3:_="">
    <xsd:import namespace="045eb053-af18-4d5f-8f3e-d2acd77ad66a"/>
    <xsd:import namespace="0ecaec10-7e02-499c-8069-00845571a8db"/>
    <xsd:element name="properties">
      <xsd:complexType>
        <xsd:sequence>
          <xsd:element name="documentManagement">
            <xsd:complexType>
              <xsd:all>
                <xsd:element ref="ns2:SafeDocsDocID" minOccurs="0"/>
                <xsd:element ref="ns2:SafeDocsDocRef" minOccurs="0"/>
                <xsd:element ref="ns2:SafeDocsDocDate" minOccurs="0"/>
                <xsd:element ref="ns2:SafeDocsAuthor" minOccurs="0"/>
                <xsd:element ref="ns2:SafeDocsFolderList" minOccurs="0"/>
                <xsd:element ref="ns2:SafeDocsFolderNames" minOccurs="0"/>
                <xsd:element ref="ns3:_dlc_DocId" minOccurs="0"/>
                <xsd:element ref="ns3:_dlc_DocIdUrl" minOccurs="0"/>
                <xsd:element ref="ns3:_dlc_DocIdPersistId" minOccurs="0"/>
                <xsd:element ref="ns3:SafeDocsDocUploadDate" minOccurs="0"/>
                <xsd:element ref="ns3:SafeDocsHebrew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5eb053-af18-4d5f-8f3e-d2acd77ad66a" elementFormDefault="qualified">
    <xsd:import namespace="http://schemas.microsoft.com/office/2006/documentManagement/types"/>
    <xsd:import namespace="http://schemas.microsoft.com/office/infopath/2007/PartnerControls"/>
    <xsd:element name="SafeDocsDocID" ma:index="8" nillable="true" ma:displayName="מספר מסמך" ma:internalName="SafeDocsDocID">
      <xsd:simpleType>
        <xsd:restriction base="dms:Text"/>
      </xsd:simpleType>
    </xsd:element>
    <xsd:element name="SafeDocsDocRef" ma:index="9" nillable="true" ma:displayName="סימוכין" ma:internalName="SafeDocsDocRef">
      <xsd:simpleType>
        <xsd:restriction base="dms:Text"/>
      </xsd:simpleType>
    </xsd:element>
    <xsd:element name="SafeDocsDocDate" ma:index="10" nillable="true" ma:displayName="תאריך מסמך" ma:internalName="SafeDocsDocDate">
      <xsd:simpleType>
        <xsd:restriction base="dms:DateTime"/>
      </xsd:simpleType>
    </xsd:element>
    <xsd:element name="SafeDocsAuthor" ma:index="11" nillable="true" ma:displayName="מחבר" ma:internalName="SafeDocsAuthor">
      <xsd:simpleType>
        <xsd:restriction base="dms:Text"/>
      </xsd:simpleType>
    </xsd:element>
    <xsd:element name="SafeDocsFolderList" ma:index="12" nillable="true" ma:displayName="רשימת תיוק" ma:internalName="SafeDocsFolderList">
      <xsd:simpleType>
        <xsd:restriction base="dms:Note">
          <xsd:maxLength value="255"/>
        </xsd:restriction>
      </xsd:simpleType>
    </xsd:element>
    <xsd:element name="SafeDocsFolderNames" ma:index="13" nillable="true" ma:displayName="תיוק" ma:internalName="SafeDocsFolderNam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ecaec10-7e02-499c-8069-00845571a8db" elementFormDefault="qualified">
    <xsd:import namespace="http://schemas.microsoft.com/office/2006/documentManagement/types"/>
    <xsd:import namespace="http://schemas.microsoft.com/office/infopath/2007/PartnerControls"/>
    <xsd:element name="_dlc_DocId" ma:index="14" nillable="true" ma:displayName="ערך של מזהה מסמך" ma:description="הערך של מזהה המסמך שהוקצה לפריט זה." ma:internalName="_dlc_DocId" ma:readOnly="true">
      <xsd:simpleType>
        <xsd:restriction base="dms:Text"/>
      </xsd:simpleType>
    </xsd:element>
    <xsd:element name="_dlc_DocIdUrl" ma:index="15"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6" nillable="true" ma:displayName="Persist ID" ma:description="Keep ID on add." ma:hidden="true" ma:internalName="_dlc_DocIdPersistId" ma:readOnly="true">
      <xsd:simpleType>
        <xsd:restriction base="dms:Boolean"/>
      </xsd:simpleType>
    </xsd:element>
    <xsd:element name="SafeDocsDocUploadDate" ma:index="17" nillable="true" ma:displayName="תאריך קליטה" ma:format="DateOnly" ma:internalName="SafeDocsDocUploadDate">
      <xsd:simpleType>
        <xsd:restriction base="dms:DateTime"/>
      </xsd:simpleType>
    </xsd:element>
    <xsd:element name="SafeDocsHebrewDate" ma:index="18" nillable="true" ma:displayName="תאריך עברי" ma:internalName="SafeDocsHebrewDat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E6E57EE-2739-49DC-8B17-505C73FBFCD2}">
  <ds:schemaRefs>
    <ds:schemaRef ds:uri="http://schemas.microsoft.com/office/2006/metadata/properties"/>
    <ds:schemaRef ds:uri="http://schemas.microsoft.com/office/infopath/2007/PartnerControls"/>
    <ds:schemaRef ds:uri="0ecaec10-7e02-499c-8069-00845571a8db"/>
    <ds:schemaRef ds:uri="045eb053-af18-4d5f-8f3e-d2acd77ad66a"/>
  </ds:schemaRefs>
</ds:datastoreItem>
</file>

<file path=customXml/itemProps2.xml><?xml version="1.0" encoding="utf-8"?>
<ds:datastoreItem xmlns:ds="http://schemas.openxmlformats.org/officeDocument/2006/customXml" ds:itemID="{361E1EFE-E31C-4C24-9BB3-0EC18AF325A1}">
  <ds:schemaRefs>
    <ds:schemaRef ds:uri="http://schemas.microsoft.com/sharepoint/events"/>
  </ds:schemaRefs>
</ds:datastoreItem>
</file>

<file path=customXml/itemProps3.xml><?xml version="1.0" encoding="utf-8"?>
<ds:datastoreItem xmlns:ds="http://schemas.openxmlformats.org/officeDocument/2006/customXml" ds:itemID="{98534B26-F43C-465B-9541-1F3BBCAAD770}">
  <ds:schemaRefs>
    <ds:schemaRef ds:uri="http://schemas.microsoft.com/sharepoint/v3/contenttype/forms"/>
  </ds:schemaRefs>
</ds:datastoreItem>
</file>

<file path=customXml/itemProps4.xml><?xml version="1.0" encoding="utf-8"?>
<ds:datastoreItem xmlns:ds="http://schemas.openxmlformats.org/officeDocument/2006/customXml" ds:itemID="{BAAFC228-233B-4343-B594-F33C9E01E7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5eb053-af18-4d5f-8f3e-d2acd77ad66a"/>
    <ds:schemaRef ds:uri="0ecaec10-7e02-499c-8069-00845571a8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7D5B652D-2313-4184-BE8E-2BF953147A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4617AD4</Template>
  <TotalTime>16</TotalTime>
  <Pages>1</Pages>
  <Words>893</Words>
  <Characters>4468</Characters>
  <Application>Microsoft Office Word</Application>
  <DocSecurity>0</DocSecurity>
  <Lines>37</Lines>
  <Paragraphs>10</Paragraphs>
  <ScaleCrop>false</ScaleCrop>
  <HeadingPairs>
    <vt:vector size="2" baseType="variant">
      <vt:variant>
        <vt:lpstr>שם</vt:lpstr>
      </vt:variant>
      <vt:variant>
        <vt:i4>1</vt:i4>
      </vt:variant>
    </vt:vector>
  </HeadingPairs>
  <TitlesOfParts>
    <vt:vector size="1" baseType="lpstr">
      <vt:lpstr>מענה לשאלות הבהרה מכרז פומבי מס' 110/2015 בנושא מתן שירותי ייצוג משפטי בתביעות והגשת כתבי אישום </vt:lpstr>
    </vt:vector>
  </TitlesOfParts>
  <Company>משרד הפנים</Company>
  <LinksUpToDate>false</LinksUpToDate>
  <CharactersWithSpaces>5351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מענה לשאלות הבהרה מכרז פומבי מס' 110/2015 בנושא מתן שירותי ייצוג משפטי בתביעות והגשת כתבי אישום </dc:title>
  <dc:creator>backup</dc:creator>
  <cp:lastModifiedBy>דגנית סמי</cp:lastModifiedBy>
  <cp:revision>6</cp:revision>
  <cp:lastPrinted>2015-04-26T08:45:00Z</cp:lastPrinted>
  <dcterms:created xsi:type="dcterms:W3CDTF">2015-04-28T06:18:00Z</dcterms:created>
  <dcterms:modified xsi:type="dcterms:W3CDTF">2015-11-30T07:06:00Z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0x0101006278BF378CDD418E9C0FADD560463C6A3E008A1B07B03D33E9478F26915C8492B445</vt:lpwstr>
  </property>
  <property fmtid="{D5CDD505-2E9C-101B-9397-08002B2CF9AE}" pid="3" name="_dlc_DocIdItemGuid">
    <vt:lpwstr>34efce65-9f73-45ba-a5a5-5739a9d1862c</vt:lpwstr>
  </property>
</Properties>
</file>